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A30B2" w:rsidRPr="00DA30B2" w14:paraId="1B86A5DB" w14:textId="77777777" w:rsidTr="00DA30B2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A30B2" w:rsidRPr="00DA30B2" w14:paraId="7EC8B2A6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0136930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6E644F5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B28918B" w14:textId="11CC9EE3" w:rsidR="00DA30B2" w:rsidRPr="00DA30B2" w:rsidRDefault="00DA30B2" w:rsidP="00DA30B2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1944D89C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25B3D395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747A867F" w14:textId="77777777" w:rsidR="00DA30B2" w:rsidRPr="00DA30B2" w:rsidRDefault="00DA30B2" w:rsidP="00DA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</w:p>
        </w:tc>
      </w:tr>
      <w:tr w:rsidR="00DA30B2" w:rsidRPr="00DA30B2" w14:paraId="7E29DB2D" w14:textId="77777777" w:rsidTr="00DA30B2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A30B2" w:rsidRPr="00DA30B2" w14:paraId="595EAA21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589F325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8"/>
                        </w:tblGrid>
                        <w:tr w:rsidR="00DA30B2" w:rsidRPr="00DA30B2" w14:paraId="425E209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A30B2" w:rsidRPr="00DA30B2" w14:paraId="60A0D21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79595CF" w14:textId="77777777" w:rsidR="00DA30B2" w:rsidRPr="00DA30B2" w:rsidRDefault="00DA30B2" w:rsidP="00DA30B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drawing>
                                        <wp:inline distT="0" distB="0" distL="0" distR="0" wp14:anchorId="35D58E20" wp14:editId="5CBA420E">
                                          <wp:extent cx="2514600" cy="1363980"/>
                                          <wp:effectExtent l="0" t="0" r="0" b="0"/>
                                          <wp:docPr id="14" name="Immagine 14">
                                            <a:hlinkClick xmlns:a="http://schemas.openxmlformats.org/drawingml/2006/main" r:id="rId5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>
                                                    <a:hlinkClick r:id="rId5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363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A30B2" w:rsidRPr="00DA30B2" w14:paraId="1BDBFF8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4A94096" w14:textId="77777777" w:rsidR="00DA30B2" w:rsidRPr="00DA30B2" w:rsidRDefault="00DA30B2" w:rsidP="00DA30B2">
                                    <w:pPr>
                                      <w:spacing w:after="0" w:line="293" w:lineRule="atLeas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br/>
                                    </w: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br/>
                                      <w:t>CEPI Newsletter</w:t>
                                    </w:r>
                                  </w:p>
                                  <w:p w14:paraId="3C1F67C0" w14:textId="77777777" w:rsidR="00DA30B2" w:rsidRPr="00DA30B2" w:rsidRDefault="00DA30B2" w:rsidP="00DA30B2">
                                    <w:pPr>
                                      <w:spacing w:after="0" w:line="293" w:lineRule="atLeas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July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 2021</w:t>
                                    </w:r>
                                  </w:p>
                                </w:tc>
                              </w:tr>
                            </w:tbl>
                            <w:p w14:paraId="61E5A7AA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30160A8B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6E5BF8A4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1FB1AC40" w14:textId="77777777" w:rsidR="00DA30B2" w:rsidRPr="00DA30B2" w:rsidRDefault="00DA30B2" w:rsidP="00DA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</w:p>
        </w:tc>
      </w:tr>
      <w:tr w:rsidR="00DA30B2" w:rsidRPr="00DA30B2" w14:paraId="3C3C5105" w14:textId="77777777" w:rsidTr="00DA30B2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A30B2" w:rsidRPr="00DA30B2" w14:paraId="6D2C692E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2DC531D1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370782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6CA5BF0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Dear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CEPI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members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,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institutions go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summer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recess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discussions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around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policy files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interest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for CEPI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paused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However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brought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some positive news for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our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namely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concerning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copyright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protection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territorial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exclusivity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  <w:t xml:space="preserve">CEPI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welcomed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initiative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launched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by MEP Sabine Verheyen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supported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by 54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who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co-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signed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hyperlink r:id="rId7" w:tgtFrame="_blank" w:history="1">
                                <w:r w:rsidRPr="00DA30B2">
                                  <w:rPr>
                                    <w:rFonts w:ascii="Arial" w:eastAsia="Times New Roman" w:hAnsi="Arial" w:cs="Arial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a joint statement</w:t>
                                </w:r>
                              </w:hyperlink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on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importance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territorial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licensing for cultural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diversity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pluralism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in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.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statement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supports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position on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need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maintain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territorial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exclusivity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reiterating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role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territoriality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essential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pillar of the creative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industries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’ business model. In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addition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supporting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finally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called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parliament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colleagues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to stop </w:t>
                              </w:r>
                              <w:proofErr w:type="spellStart"/>
                              <w:proofErr w:type="gram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involving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 the</w:t>
                              </w:r>
                              <w:proofErr w:type="gram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discussion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around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territoriality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and Geo-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blocking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unrelated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files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recent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report 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artificial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intelligence.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  <w:t xml:space="preserve">On 8th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CEPI,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together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other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organisations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met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with Irena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Ostouska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, Head of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Council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Working Group 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and Media of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Slovenian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Presidency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Council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. Ms.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Ostouska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interested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in hearing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position 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territorial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exclusivity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thoughts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on a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possible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harmonisation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windows release system for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Participants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pushed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back on a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potential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harmonised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release window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explained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how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territorial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exclusivity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must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remain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constitutes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backbone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of the business model of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  <w:t xml:space="preserve">On the copyright front, on 15th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Advocate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General (AG) of the Court of Justice of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Union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delivered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his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opinion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article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17 of the copyright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directive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hyperlink r:id="rId8" w:tgtFrame="_blank" w:history="1">
                                <w:r w:rsidRPr="00DA30B2">
                                  <w:rPr>
                                    <w:rFonts w:ascii="Arial" w:eastAsia="Times New Roman" w:hAnsi="Arial" w:cs="Arial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is compatible</w:t>
                                </w:r>
                              </w:hyperlink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with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freedom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expression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and information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guaranteed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in the charter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fundamental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of 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lastRenderedPageBreak/>
                                <w:t xml:space="preserve">the EU,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therefore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dismissing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action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brought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by Poland. 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Please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out more in the </w:t>
                              </w:r>
                              <w:proofErr w:type="gram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Copyright</w:t>
                              </w:r>
                              <w:proofErr w:type="gram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section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newsletter.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  <w:t xml:space="preserve">In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parallel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CEPI’s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work on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sustainability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project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launched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last April, on 30th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June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Commission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invited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CEPI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participate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in an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dialogue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aimed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sharing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ideas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experience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to feed in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Commission’s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ambition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accompany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toward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climate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neutrality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Considering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similarity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with some of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conclusions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identified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by the Commission and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ongoing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project 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sustainable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production, CEPI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leading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with the social partners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supported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by the social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dialogue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committee, CEPI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reached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out to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commission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to share information 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our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project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ensure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coordination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We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would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like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remind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you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CEPI’s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next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general assembly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held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on the 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25th and 26th of November 2021, in Madrid,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Spain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kindly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hosted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by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our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colleagues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AECine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During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General Assembly,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we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hold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elections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for a new Board of Directors, a new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President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treasurer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If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you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interested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being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 candidate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elections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to join the CEPI board of Director,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please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send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your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expression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interest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to mathilde.fiquet@europe-analytica.com by the 25th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September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2021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  <w:t xml:space="preserve">Like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every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there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be no newsletter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during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month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of August.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We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wish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you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relaxing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hopefully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restriction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free,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month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of August.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Enjoy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 the reading!</w:t>
                              </w:r>
                            </w:p>
                            <w:p w14:paraId="3C35D324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Best,</w:t>
                              </w:r>
                            </w:p>
                            <w:p w14:paraId="77F1D475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 xml:space="preserve">The CEPI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it-IT"/>
                                </w:rPr>
                                <w:t>secretariat</w:t>
                              </w:r>
                              <w:proofErr w:type="spellEnd"/>
                            </w:p>
                          </w:tc>
                        </w:tr>
                      </w:tbl>
                      <w:p w14:paraId="5CBF30EF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0114F579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794FB0F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A30B2" w:rsidRPr="00DA30B2" w14:paraId="25165F9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C19CE91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Sections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newsletter: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t>-</w:t>
                              </w:r>
                              <w:hyperlink r:id="rId9" w:anchor="Latest%20from%20the%20EU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 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Latest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 xml:space="preserve"> from the EU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  <w:t>- </w:t>
                              </w:r>
                              <w:hyperlink r:id="rId10" w:anchor="Covid%2019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 xml:space="preserve">COVID 19: Impact on the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sector</w:t>
                                </w:r>
                                <w:proofErr w:type="spellEnd"/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  <w:t>-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instrText xml:space="preserve"> HYPERLINK "https://mailchi.mp/d92f9e3b55e1/cepi-newsletter-july-2021?e=00eb4f9b18" \l "Latest%20on%20AV%20industry"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Latest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 xml:space="preserve"> on the AV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  <w:t>- </w:t>
                              </w:r>
                              <w:hyperlink r:id="rId11" w:anchor="Copyright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Copyright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  <w:t>- </w:t>
                              </w:r>
                              <w:hyperlink r:id="rId12" w:anchor="DSA%20&amp;%20platform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 xml:space="preserve">Digital Services Act (DSA) &amp; Digital </w:t>
                                </w:r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lastRenderedPageBreak/>
                                  <w:t xml:space="preserve">Platform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Regulation</w:t>
                                </w:r>
                                <w:proofErr w:type="spellEnd"/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  <w:t>-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instrText xml:space="preserve"> HYPERLINK "https://mailchi.mp/d92f9e3b55e1/cepi-newsletter-july-2021?e=00eb4f9b18" \l "Piracy"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Piracy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665D7A02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A30B2" w:rsidRPr="00DA30B2" w14:paraId="4B5330D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B1E7AA1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t>-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instrText xml:space="preserve"> HYPERLINK "https://mailchi.mp/d92f9e3b55e1/cepi-newsletter-july-2021?e=00eb4f9b18" \l "Territoriality"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  <w:t>Territoriality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hyperlink r:id="rId13" w:anchor="Audiovisual%20platform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- </w:t>
                                </w:r>
                                <w:proofErr w:type="spellStart"/>
                              </w:hyperlink>
                              <w:hyperlink r:id="rId14" w:anchor="AV%20platforms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Audiovisual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platforms</w:t>
                                </w:r>
                                <w:proofErr w:type="spellEnd"/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</w:r>
                              <w:hyperlink r:id="rId15" w:anchor="Film%20&amp;%20TV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- </w:t>
                                </w:r>
                              </w:hyperlink>
                              <w:hyperlink r:id="rId16" w:anchor="Cinema%20&amp;%20TV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Film and TV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</w:r>
                              <w:hyperlink r:id="rId17" w:anchor="festival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- </w:t>
                                </w:r>
                              </w:hyperlink>
                              <w:hyperlink r:id="rId18" w:anchor="Festivals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Festival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</w:r>
                              <w:hyperlink r:id="rId19" w:anchor="recent%20studies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- </w:t>
                                </w:r>
                                <w:proofErr w:type="spellStart"/>
                              </w:hyperlink>
                              <w:hyperlink r:id="rId20" w:anchor="recent%20studies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Recent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 xml:space="preserve"> studies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</w:r>
                              <w:hyperlink r:id="rId21" w:anchor="Events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- Events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</w:r>
                              <w:hyperlink r:id="rId22" w:anchor="Interesting%20links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 xml:space="preserve">-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>interesting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1"/>
                                    <w:szCs w:val="21"/>
                                    <w:u w:val="single"/>
                                    <w:lang w:eastAsia="it-IT"/>
                                  </w:rPr>
                                  <w:t xml:space="preserve"> links</w:t>
                                </w:r>
                              </w:hyperlink>
                            </w:p>
                          </w:tc>
                        </w:tr>
                      </w:tbl>
                      <w:p w14:paraId="518513A6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01445ED4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7EA08924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43DE91EF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300843FB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6F6AAEE" w14:textId="77777777" w:rsidR="00DA30B2" w:rsidRPr="00DA30B2" w:rsidRDefault="00DA30B2" w:rsidP="00DA30B2">
                                    <w:pPr>
                                      <w:spacing w:after="0" w:line="315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>Latest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 xml:space="preserve"> from the EU</w:t>
                                    </w:r>
                                    <w:bookmarkStart w:id="0" w:name="Latest_from_the_EU"/>
                                    <w:bookmarkEnd w:id="0"/>
                                  </w:p>
                                </w:tc>
                              </w:tr>
                            </w:tbl>
                            <w:p w14:paraId="4824B91E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4C915617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6FBA33A5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5ECF52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4B76583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555C2DA9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anchor distT="0" distB="0" distL="0" distR="0" simplePos="0" relativeHeight="251658240" behindDoc="0" locked="0" layoutInCell="1" allowOverlap="0" wp14:anchorId="70850A85" wp14:editId="3AF17EB0">
                                    <wp:simplePos x="0" y="0"/>
                                    <wp:positionH relativeFrom="column">
                                      <wp:align>right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905000" cy="1905000"/>
                                    <wp:effectExtent l="0" t="0" r="0" b="0"/>
                                    <wp:wrapSquare wrapText="bothSides"/>
                                    <wp:docPr id="21" name="Immagin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EIT sets up Knowledge Innovation Communities for the Cultural and Creative Sector and Industries </w:t>
                              </w:r>
                              <w:bookmarkStart w:id="1" w:name="1.1"/>
                              <w:bookmarkEnd w:id="1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Institute of Innovation and Technology (EIT)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established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Knowledge and Innovation Communities, partnerships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aim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bring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together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various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stakeholders from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across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business,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research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universities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stimulate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innovation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new companies and the training of the new generation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entrepreneurs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</w:p>
                            <w:p w14:paraId="4C509BD0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Innovation Communities,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focusing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varying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societal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ranging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digital,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climate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health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across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Europe.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communities are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able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decide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legal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status,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internal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organisation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working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methods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the EIT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outlining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communities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significant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autonomy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enabling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each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community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ability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be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effective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possible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within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own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 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EIT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recently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launched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EIT Culture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Creativity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the Cultural and Creative Sector,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recognising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importance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Europe,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both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an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economic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cultural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sense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eligibility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criteria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released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EIT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you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linked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"https://eit.europa.eu/sites/default/files/annex_i_gb_decision_call_criteria_final_clean.docx_.pdf" \t "_blank" </w:instrTex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EIT sets up Knowledge Innovation Communities for the Cultural and Creative Sector and Industries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> 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Institute of Innovation and Technology (EIT)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established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Knowledge and Innovation Communities, partnerships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aim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bring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together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various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stakeholders from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across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business,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research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universities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stimulate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innovation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new companies and the training of the new generation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entrepreneurs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 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Innovation Communities,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focusing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varying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societal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ranging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digital,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climate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health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across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Europe.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communities are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able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decide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legal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status,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internal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organisation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working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methods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the EIT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outlining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communities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significant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autonomy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enabling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each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community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ability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be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effective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possible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within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own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 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EIT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recently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launched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EIT Culture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Creativity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the Cultural and Creative Sector,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recognising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importance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Europe,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both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an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economic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cultural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sense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eligibility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criteria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released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EIT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you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linked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"https://eit.europa.eu/sites/default/files/annex_i_gb_decision_call_criteria_final_clean.docx_.pdf" \t "_blank" </w:instrTex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16235E7F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E8653F4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5FD88E4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219A3E2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24F8F9C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Catch up on the Green Film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Debate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 </w:t>
                              </w:r>
                              <w:bookmarkStart w:id="2" w:name="1.2"/>
                              <w:bookmarkEnd w:id="2"/>
                              <w:r w:rsidRPr="00DA30B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anchor distT="0" distB="0" distL="0" distR="0" simplePos="0" relativeHeight="251658240" behindDoc="0" locked="0" layoutInCell="1" allowOverlap="0" wp14:anchorId="5D95EED7" wp14:editId="5BF8A431">
                                    <wp:simplePos x="0" y="0"/>
                                    <wp:positionH relativeFrom="column">
                                      <wp:align>right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905000" cy="1905000"/>
                                    <wp:effectExtent l="0" t="0" r="0" b="0"/>
                                    <wp:wrapSquare wrapText="bothSides"/>
                                    <wp:docPr id="20" name="Immagine 20" descr="Immagine che contiene interni, parecchi&#10;&#10;Descrizione generata automa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" name="Immagine 20" descr="Immagine che contiene interni, parecchi&#10;&#10;Descrizione generata automaticamen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Service and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UK’s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Department for Digital, Culture, Media &amp; Sport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hosted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interesting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vitally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important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conference in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June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sustainable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core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topic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particularly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through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international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collaboration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</w:p>
                            <w:p w14:paraId="11451097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Various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influential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members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film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outlined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how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currently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addressing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wastefulness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within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film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incorporating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use of carbon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calculators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planning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well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use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certification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establishing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global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sustainability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standards.</w: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UK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based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tool Albert,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leading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sustainable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drive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within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however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there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over country-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specific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tools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produced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tools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help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those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EU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Member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States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meet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Green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action 6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aims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move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towards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climate-neutral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“sharing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existing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practices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agreeing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common tools and green standards”.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watch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conference in full follow the link 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"https://www.youtube.com/watch?v=_85iiw5Fts8" \t "_blank" </w:instrText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for an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outline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programme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click 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hyperlink r:id="rId25" w:tgtFrame="_blank" w:history="1">
                                <w:r w:rsidRPr="00DA30B2">
                                  <w:rPr>
                                    <w:rFonts w:ascii="Arial" w:eastAsia="Times New Roman" w:hAnsi="Arial" w:cs="Arial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link</w:t>
                                </w:r>
                              </w:hyperlink>
                              <w:r w:rsidRPr="00DA30B2"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355055EF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A796F37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0620621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2C8599D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FAC6966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Brexit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compounds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problems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for UK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arthouse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distributors</w:t>
                              </w:r>
                              <w:bookmarkStart w:id="3" w:name="0.3"/>
                              <w:bookmarkEnd w:id="3"/>
                              <w:proofErr w:type="spellEnd"/>
                            </w:p>
                            <w:p w14:paraId="04542E6C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damage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UK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arthouse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cinema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suffered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Brexit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comparable to the impact the global pandemic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according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managing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director of UK distributor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exhibitor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Curzon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Artificial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Eye,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Lousia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With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significant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proportion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funding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previously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provided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Creative Europe Media Fund.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Due to Brexit,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plans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official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co-productions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counterparts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arguing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UK scene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suffering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no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longer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attract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enough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labour from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countries to support UK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arthouse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cinema.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addition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the rise of streaming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in part due to the pandemic, prices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within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acquisition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market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inflating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quickly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arthouse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struggling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keep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up with the pace.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Curzon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Artificial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Eye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incredibly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cautious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acquiring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film for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price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overpaying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current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trend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costs of Brexit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clearer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one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hopes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UK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arthouse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cinema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support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needs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continue to be a pillar of UK culture.</w:t>
                              </w:r>
                            </w:p>
                          </w:tc>
                        </w:tr>
                      </w:tbl>
                      <w:p w14:paraId="1C6B6DDA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2B921A33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7638F0AC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21F1002F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70E1E917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F03D3D2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 xml:space="preserve">Covid-19: Impact on the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>sector</w:t>
                                    </w:r>
                                    <w:bookmarkStart w:id="4" w:name="Covid_19"/>
                                    <w:bookmarkEnd w:id="4"/>
                                    <w:proofErr w:type="spellEnd"/>
                                  </w:p>
                                </w:tc>
                              </w:tr>
                            </w:tbl>
                            <w:p w14:paraId="25B81456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35A0D5DB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0175E695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687E04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72C03E9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31B8B6B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anchor distT="0" distB="0" distL="0" distR="0" simplePos="0" relativeHeight="251658240" behindDoc="0" locked="0" layoutInCell="1" allowOverlap="0" wp14:anchorId="6CBFCFD4" wp14:editId="1594E4AA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905000" cy="1905000"/>
                                    <wp:effectExtent l="0" t="0" r="0" b="0"/>
                                    <wp:wrapSquare wrapText="bothSides"/>
                                    <wp:docPr id="19" name="Immagin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French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cinemas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12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admissions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reopening</w:t>
                              </w:r>
                              <w:bookmarkStart w:id="5" w:name="2.1"/>
                              <w:bookmarkEnd w:id="5"/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19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2021,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French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cinemas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allowed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reopen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public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flocked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droves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back to the big screen.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2021,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estimates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the CNC,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suggested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8.5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admissions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take place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across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country,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whilst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-32.3%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comparison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2019,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shows the French are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happy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back to the cinema.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Analysis shows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whilst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cinemas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open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2020,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uncertainty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lack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new releases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provided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lackluster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first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reopening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adapted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overcome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difficulties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due to the pandemic, with 75 new releases on the big screen,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average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15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per week,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compared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13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2019.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French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cinemagoers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particularly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excited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support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countrymen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women in film with French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taking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up a market share of 45%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reopening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whilst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American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30.3%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nationalities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taking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up 24.6%.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Whilst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popular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American made,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Conjuring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3 with 1.4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admissions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9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release, Adieu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cons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second with 558,000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admissions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</w:p>
                          </w:tc>
                        </w:tr>
                      </w:tbl>
                      <w:p w14:paraId="542D3CF2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05B53316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58B22A78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BF71AD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3757430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anchor distT="0" distB="0" distL="0" distR="0" simplePos="0" relativeHeight="251658240" behindDoc="0" locked="0" layoutInCell="1" allowOverlap="0" wp14:anchorId="0C150FEC" wp14:editId="1F109320">
                                    <wp:simplePos x="0" y="0"/>
                                    <wp:positionH relativeFrom="column">
                                      <wp:align>right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905000" cy="1905000"/>
                                    <wp:effectExtent l="0" t="0" r="0" b="0"/>
                                    <wp:wrapSquare wrapText="bothSides"/>
                                    <wp:docPr id="18" name="Immagine 18" descr="Immagine che contiene interni&#10;&#10;Descrizione generata automa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" name="Immagine 18" descr="Immagine che contiene interni&#10;&#10;Descrizione generata automaticamen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Media and Entertainment Revenue forecast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bounceback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- PwC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bookmarkStart w:id="6" w:name="2.2"/>
                              <w:bookmarkEnd w:id="6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Following the COVID pandemic impact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across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global economy,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PwC’s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‘Global Entertainment &amp; Media Outlook 2021-2025’ report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suggests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revenue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within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dropped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3.8%, an overall drop of $81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Whilst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report highlights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reasons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optimistic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within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highlighting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cinema and live music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revenue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increases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90% in 2021, with cinema seeing $25.37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take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until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2024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cinemas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return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-pandemic revenue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levels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Unsurprisingly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VOD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staggering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amounts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increased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revenue,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increasing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29.4% in 2020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subscription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based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streaming services.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reopening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economies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thanks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>vaccination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campaigns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VOD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softer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 rate in 2021, set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13.2%.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report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highlights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increasing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differences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between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generations,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cinemagoers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older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younger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consumers,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particularly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those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classified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Z</w:t>
                              </w:r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’ ,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prefer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playing video games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going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cinema 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consuming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television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more on the report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please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follow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hyperlink r:id="rId27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link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71CCCBC5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61418A2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2201594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20226C0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0C01CCEE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resilience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Nordic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industry</w:t>
                              </w:r>
                              <w:bookmarkStart w:id="7" w:name="2.3"/>
                              <w:bookmarkEnd w:id="7"/>
                              <w:proofErr w:type="spellEnd"/>
                            </w:p>
                            <w:p w14:paraId="3C1F8447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“The demand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Nordic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drama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series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higher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outcome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a report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commissioned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Nordisk Film and TV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Nordisk Film and TV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association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national film institutes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Denmark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Finland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Norway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Sweden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report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just a mere 2%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projects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cancelled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start of the pandemic and the demand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popular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Nordic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drama’s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higher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before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success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might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do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response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governments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northern-European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countries,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rapidly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introduced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mitigating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financial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the start.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addition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already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place-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generous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subsidies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already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favour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Nordic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region’s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Besides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financial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support,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Nordic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countries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very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fast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resuming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shootings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thanks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quickly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developed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safe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guidelines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’,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combination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low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infection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rates. </w:t>
                              </w:r>
                            </w:p>
                          </w:tc>
                        </w:tr>
                      </w:tbl>
                      <w:p w14:paraId="63968F39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28CA848F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01C56954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633FB455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10D88600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C4C2947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0"/>
                                        <w:szCs w:val="40"/>
                                        <w:lang w:eastAsia="it-IT"/>
                                      </w:rPr>
                                      <w:t>Latest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0"/>
                                        <w:szCs w:val="40"/>
                                        <w:lang w:eastAsia="it-IT"/>
                                      </w:rPr>
                                      <w:t xml:space="preserve"> on the AV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0"/>
                                        <w:szCs w:val="40"/>
                                        <w:lang w:eastAsia="it-IT"/>
                                      </w:rPr>
                                      <w:t>industry</w:t>
                                    </w:r>
                                    <w:bookmarkStart w:id="8" w:name="Latest_on_AV_industry"/>
                                    <w:bookmarkEnd w:id="8"/>
                                    <w:proofErr w:type="spellEnd"/>
                                  </w:p>
                                </w:tc>
                              </w:tr>
                            </w:tbl>
                            <w:p w14:paraId="5D99758E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1DF6025D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0D667032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1EDB9068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251BED8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DEAD5E1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drawing>
                                  <wp:inline distT="0" distB="0" distL="0" distR="0" wp14:anchorId="59E8E38D" wp14:editId="566E8983">
                                    <wp:extent cx="1905000" cy="1905000"/>
                                    <wp:effectExtent l="0" t="0" r="0" b="0"/>
                                    <wp:docPr id="13" name="Immagin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Göteborg’s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Nostradamus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sees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optimism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for a post-pandemic future</w:t>
                              </w:r>
                              <w:bookmarkStart w:id="9" w:name="3.1"/>
                              <w:bookmarkEnd w:id="9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Göteborg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Festival’s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Nostradamus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initiative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you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report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"https://goteborgfilmfestival.se/wp-content/uploads/2021/02/GFF21-nostradamus-web-pages-210204-2.pdf"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looked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future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financial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ecosystem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appearance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Cannes NEXT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Marché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du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Film. Following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presentation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report a panel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focused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the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uncertain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future’ of the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financial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ecosystem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Roberto Olla,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looked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optimism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propductions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doing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absolutely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great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 with projects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utilising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festivals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finished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articles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cinemas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streaming services. Olla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onto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arthouse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cinema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focus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audiences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releasing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countries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psibble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way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won’t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VOD services.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panelists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transition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cinema to VOD services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smoother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others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expecting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streaming bills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soon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bundled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bills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TV.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optimism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throughout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panel, with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consumed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storytelling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booming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according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Olla, and cinema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evolving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sociable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experience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3B75521A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683F9AE7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5DFF5D91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4034B54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6B2687CD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drawing>
                                  <wp:inline distT="0" distB="0" distL="0" distR="0" wp14:anchorId="699E5901" wp14:editId="7AC96336">
                                    <wp:extent cx="1905000" cy="1905000"/>
                                    <wp:effectExtent l="0" t="0" r="0" b="0"/>
                                    <wp:docPr id="12" name="Immagin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resilience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Nordic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industry</w:t>
                              </w:r>
                              <w:bookmarkStart w:id="10" w:name="3.2"/>
                              <w:bookmarkEnd w:id="10"/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“The demand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Nordic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drama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series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higher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outcome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a report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commissioned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Nordisk Film and TV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Nordisk Film and TV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association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national film institutes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Denmark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Finland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Norway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Sweden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report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just a mere 2%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projects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cancelled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start of the pandemic and the demand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popular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Nordic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drama’s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higher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before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success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might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do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response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governments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northern-European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countries,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rapidly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introduced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mitigating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financial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the start.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addition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already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place-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generous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subsidies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already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favour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Nordic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region’s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Besides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financial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support,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Nordic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countries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very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fast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resuming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shootings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thanks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quickly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developed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safe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guidelines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’,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combination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low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infection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rates.</w:t>
                              </w:r>
                            </w:p>
                          </w:tc>
                        </w:tr>
                      </w:tbl>
                      <w:p w14:paraId="411BAE6D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28B578F1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53DC1FF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4DADD96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54ED734A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Minority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co-production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supported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by new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Czech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Film Fund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grants</w:t>
                              </w:r>
                              <w:bookmarkStart w:id="11" w:name="3.3"/>
                              <w:bookmarkEnd w:id="11"/>
                              <w:proofErr w:type="spellEnd"/>
                            </w:p>
                            <w:p w14:paraId="346CD180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Czech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Fund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given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significant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support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minority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co-productions in 2021,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distributed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estimated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780,000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highest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going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Peaches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Broskvičky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), with director Jenny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receiving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135,000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Hong Kong director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one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calls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financed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total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twenty-nine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projects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applying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grants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twice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applications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received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2020.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Whilst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twenty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twenty-nine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calls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rigorous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requirements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only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financed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due in 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part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unprecedented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high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number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applications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minority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found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success in the call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Slovakia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surprisingly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both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countries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significant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cultural bonds.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grants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announced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16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a list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successful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applicants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linked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"http://"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2179AC85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3EC322AB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457A58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0E1DB42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5F15CF17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German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Film Industry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receives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support from Bundestag</w:t>
                              </w:r>
                              <w:bookmarkStart w:id="12" w:name="3.4"/>
                              <w:bookmarkEnd w:id="12"/>
                            </w:p>
                            <w:p w14:paraId="62B67E72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German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Bundestag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lower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house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parliament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)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adopted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amendment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Film Support Act,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providing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needed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support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German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Following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amendment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aims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make use of the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levy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placing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greater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emphasis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ecological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aspects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film production support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mechanism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amendment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Film Support Act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designed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make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easier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the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adapt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overcome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exceptional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circumstances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context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COVID pandemic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any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future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arise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result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Film Support Agency (FFA)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 a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more agile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manner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adjusting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eligibility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requirements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those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support,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funding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utilised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across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Changes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made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through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act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ensure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environmental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diversity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tackled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Successful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applicants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ensure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environmental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impact of production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kept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a minimum, following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effective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addition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management bodies of the FFA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gender equality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diversity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provisions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including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requirement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either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President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or Vice-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President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FFA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female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amendment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submitted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Bundesrat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upper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house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parliament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),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amendment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confirmed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1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January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2022,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amendment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expected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come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effect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two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period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following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confirmation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</w:p>
                          </w:tc>
                        </w:tr>
                      </w:tbl>
                      <w:p w14:paraId="2494323A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1176DAD5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54D0236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708C494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7B5D13B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Italian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top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priority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in recovery plans</w:t>
                              </w:r>
                              <w:bookmarkStart w:id="13" w:name="3.5"/>
                              <w:bookmarkEnd w:id="13"/>
                            </w:p>
                            <w:p w14:paraId="35289296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>Italy’s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clear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priority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according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country's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recovery plans.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Rome’s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Cinecittà Studios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set for a €300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cash injection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part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Union’s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post-pandemic recovery fund.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PM Draghi and Commission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president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Von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Leyen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visited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Roman studio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held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press conference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Studio 5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made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announcement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Italy's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recovery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resilience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plans. </w:t>
                              </w:r>
                            </w:p>
                          </w:tc>
                        </w:tr>
                      </w:tbl>
                      <w:p w14:paraId="50E3F8E4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FEB5227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23DE1784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24198E5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62689530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1BB884C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proofErr w:type="gram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>Copyright</w:t>
                                    </w:r>
                                    <w:bookmarkStart w:id="14" w:name="Copyright"/>
                                    <w:bookmarkEnd w:id="14"/>
                                    <w:proofErr w:type="gramEnd"/>
                                  </w:p>
                                </w:tc>
                              </w:tr>
                            </w:tbl>
                            <w:p w14:paraId="61303A83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799352D8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1A38DDED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5295C16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8577C4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2A67EB4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inline distT="0" distB="0" distL="0" distR="0" wp14:anchorId="1AF00562" wp14:editId="050B3056">
                                    <wp:extent cx="1905000" cy="1905000"/>
                                    <wp:effectExtent l="0" t="0" r="0" b="0"/>
                                    <wp:docPr id="11" name="Immagin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Advocate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General calls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dismissal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Polish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case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Article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17</w:t>
                              </w:r>
                              <w:bookmarkStart w:id="15" w:name="4.1"/>
                              <w:bookmarkEnd w:id="15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On 15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Advocate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General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delivered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opinion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press release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"https://curia.europa.eu/jcms/upload/docs/application/pdf/2021-07/cp210138en.pdf"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) 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Polish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annulment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proceedings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started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2019,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regarding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two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obligations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Article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17 of the Copyright Directive.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After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voting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against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Copyright Directive , Poland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initiated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proceedings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Court of Justice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against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legislators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alleging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Articles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17(4)(b) and (c) create a filtering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obligation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jeopardise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fundamental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Charter,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namely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freedom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expression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information.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Fortunately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AG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recommended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dismissal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case,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sufficient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safeguards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minimise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risk of over-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blocking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AG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further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held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service 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providers must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only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detect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block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identical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equivalent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signalled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rightsholders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manifestly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unlawful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conclusion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Article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17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entails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interference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freedom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expression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interference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accordance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the Charter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Fundamental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Although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AG opinions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binding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followed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Court.</w:t>
                              </w:r>
                            </w:p>
                          </w:tc>
                        </w:tr>
                      </w:tbl>
                      <w:p w14:paraId="6F48B006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5629638F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4AE70F4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202BACA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0CDD484F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inline distT="0" distB="0" distL="0" distR="0" wp14:anchorId="1949FB68" wp14:editId="463E860B">
                                    <wp:extent cx="1905000" cy="1905000"/>
                                    <wp:effectExtent l="0" t="0" r="0" b="0"/>
                                    <wp:docPr id="10" name="Immagin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What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could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Advocate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General opinion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mean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for 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implementation</w:t>
                              </w:r>
                              <w:bookmarkStart w:id="16" w:name="4.2"/>
                              <w:bookmarkEnd w:id="16"/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​​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far,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only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six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Member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States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completed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transposition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Article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17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framework.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exception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Germany,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Member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States - Netherlands,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Hungary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France,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Denmark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Malta,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more 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restated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Directive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delved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practical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implementation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Reading the AG opinion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Article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17,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seems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copy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provision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Directive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compatible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“for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Member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States and the Commission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determine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detailed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rules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 to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taken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detect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 For the AG, the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definition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those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practical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solutions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neither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left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those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providers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(…)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left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entirely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rightholders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(…),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must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defined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those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private parties alone in a way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lacks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transparency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process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transparent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under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supervision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public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authorities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Court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agree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assessment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Member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States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revise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implementation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Germany, 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contrary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further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implementation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including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various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safeguards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against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alleged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threat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excessive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blocking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concept of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presumably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authorized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’. How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>does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Germany’s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ex ante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approach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relate to the opinion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Saugmangsgaard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Øe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? The AG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creates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)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wider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scope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presumably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authorized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namely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those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manifestly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infringing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constitute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transformative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’. The AG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intermediaries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“</w:t>
                              </w:r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are 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technically</w:t>
                              </w:r>
                              <w:proofErr w:type="spellEnd"/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combat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certain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information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disseminated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through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services,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cannot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expected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make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independent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assessments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lawfulness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information”.</w:t>
                              </w:r>
                            </w:p>
                          </w:tc>
                        </w:tr>
                      </w:tbl>
                      <w:p w14:paraId="468A8397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1D42AF7A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1A65DA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2A3D733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2529F22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Commission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sends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first warning over </w:t>
                              </w:r>
                              <w:proofErr w:type="gram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Copyright</w:t>
                              </w:r>
                              <w:proofErr w:type="gram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implementation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delay</w:t>
                              </w:r>
                              <w:bookmarkStart w:id="17" w:name="4.3"/>
                              <w:bookmarkEnd w:id="17"/>
                            </w:p>
                            <w:p w14:paraId="56AF9D96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Commission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several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Member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States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letters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asking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an update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implementation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Copyright Directive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deadline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7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Union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late.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Addressees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letters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include Austria,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Belgium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Bulgaria, Cyprus,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Czechia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Denmark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Estonia,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Greece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Spain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Finland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France,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Croatia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Ireland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Italy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Lithuania, Luxembourg, Latvia, Poland, Portugal, Romania,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Sweden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Slovenia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Slovakia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two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months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response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take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accordingly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Commission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satisfied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outcome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reasoned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opinions.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You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press release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"https://digital-strategy.ec.europa.eu/en/news/copyright-commission-calls-member-states-comply-eu-rules-copyright-digital-single-market"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Complete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implementation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only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achieved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Germany, the Netherlands,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Hungary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Malta. France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made progress,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but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only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few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select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provisions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including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Article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17. </w:t>
                              </w:r>
                            </w:p>
                          </w:tc>
                        </w:tr>
                      </w:tbl>
                      <w:p w14:paraId="1279B1CA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664F178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4CE54BD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447A62A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9905BD7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CJEU rules on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registration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of IP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addresses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and sharing of information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holders</w:t>
                              </w:r>
                              <w:bookmarkStart w:id="18" w:name="4.4"/>
                              <w:bookmarkEnd w:id="18"/>
                            </w:p>
                            <w:p w14:paraId="22201961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Last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month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Court of Justice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interpretation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a dispute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between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Mircom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behalf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film producers,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internet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service provider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Telenet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Mircom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request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customers’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identification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data on IP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addresses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shared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a peer-to-peer network,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Telenet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refused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press release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"https://curia.europa.eu/jcms/upload/docs/application/pdf/2021-06/cp210105en.pdf"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Court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found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sharing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protected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works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constituted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communication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public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within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EU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Furthermore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case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IP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rightsholder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benefit from the system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protects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condition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 information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request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non-abusive,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passes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criterion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justification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proportionality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Lastly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Court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held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systematic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registration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IP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addresses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users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along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the sharing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>certain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identification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details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names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addresses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rightsholder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in order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action to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taken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permissible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pursuant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Article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6(1)(f) of GDPR).</w:t>
                              </w:r>
                            </w:p>
                          </w:tc>
                        </w:tr>
                      </w:tbl>
                      <w:p w14:paraId="26274DED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139B9A01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74F6DEC5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2587030B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02451048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36FC77E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 xml:space="preserve">Digital Services Act and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>platform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>regulation</w:t>
                                    </w:r>
                                    <w:bookmarkStart w:id="19" w:name="DSA_&amp;_platform"/>
                                    <w:bookmarkEnd w:id="19"/>
                                    <w:proofErr w:type="spellEnd"/>
                                  </w:p>
                                </w:tc>
                              </w:tr>
                            </w:tbl>
                            <w:p w14:paraId="2E8E5606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478C85D4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3DCD13B8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2B81A03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0FF2546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7F7A3FE6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inline distT="0" distB="0" distL="0" distR="0" wp14:anchorId="67A935DA" wp14:editId="6183CE93">
                                    <wp:extent cx="1905000" cy="1905000"/>
                                    <wp:effectExtent l="0" t="0" r="0" b="0"/>
                                    <wp:docPr id="9" name="Immagin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IMCO’s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DSA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amendments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here</w:t>
                              </w:r>
                              <w:bookmarkStart w:id="20" w:name="5.1"/>
                              <w:bookmarkEnd w:id="20"/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With the deadline set for 1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IMCO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tabled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over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two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thousand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amendments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: </w:t>
                              </w:r>
                              <w:hyperlink r:id="rId33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1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, </w:t>
                              </w:r>
                              <w:hyperlink r:id="rId34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2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, </w:t>
                              </w:r>
                              <w:hyperlink r:id="rId35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3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, </w:t>
                              </w:r>
                              <w:hyperlink r:id="rId36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4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, </w:t>
                              </w:r>
                              <w:hyperlink r:id="rId37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5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, </w:t>
                              </w:r>
                              <w:hyperlink r:id="rId38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6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, </w:t>
                              </w:r>
                              <w:hyperlink r:id="rId39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7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, </w:t>
                              </w:r>
                              <w:hyperlink r:id="rId40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8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and </w:t>
                              </w:r>
                              <w:hyperlink r:id="rId41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9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). 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responsibilities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intermediaries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great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variation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among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stances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political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groups.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group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Parliament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EPP,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defines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constitutes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activity, in and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itself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excluding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merely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represents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group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refuses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“stay down”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obligation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keep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offline,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replaces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voluntary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stay down for hosting services.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different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one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adopted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EPP in the ITRE Committee,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already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deleted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prevented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reappearing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Geese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(Greens, DE)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proposes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keep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online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manifestly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qualification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goes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a court or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administrative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authority.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consequence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signalling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does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knowledge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authorities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enforcement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agencies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cannot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trusted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flaggers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whose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reports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dealt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priority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>Renew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defends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subsidiary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responsibility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in the event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communication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public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visible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intermediary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Internet user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generally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)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responsible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receives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notification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must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direct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concerned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Both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Greens and the Left group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dismiss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Article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6 or the Good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Samaritan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clause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</w:p>
                          </w:tc>
                        </w:tr>
                      </w:tbl>
                      <w:p w14:paraId="5E9C414A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26ECC3F0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FC8932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089EA4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6425931F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inline distT="0" distB="0" distL="0" distR="0" wp14:anchorId="1898CA33" wp14:editId="3891D67A">
                                    <wp:extent cx="1905000" cy="1905000"/>
                                    <wp:effectExtent l="0" t="0" r="0" b="0"/>
                                    <wp:docPr id="8" name="Immagin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LIBE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adopts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opinion on the Digital Services Act</w:t>
                              </w:r>
                              <w:bookmarkStart w:id="21" w:name="5.2"/>
                              <w:bookmarkEnd w:id="21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LIBE leads the way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first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Parliamentary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Committee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text on the DSA, on 14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published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opinion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"https://www.europarl.europa.eu/doceo/document/LIBE-AD-692898_EN.pdf"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Committee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associated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over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entire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proposal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rapporteur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Breyer (Greens, DE),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negotiate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IMCO’s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Schaldemose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(S&amp;D, DK) to incorporate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LIBE’s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amendments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text.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compromise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amendments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approved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 bloc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"https://www.europarl.europa.eu/cmsdata/238106/LIBE%20Voting%20Session%2014%20July%202021%20(amendments)_results.pdf"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exception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Article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38,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adopted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a separate vote,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proposes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designation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coordinating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authority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checked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Commission, in the case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subject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rule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proceedings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You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results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vote on the opinion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"https://www.europarl.europa.eu/cmsdata/238125/LIBE%20Voting%20Session%2014%20July%202021%20(final%20votes)-1.pdf"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37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votes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favour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24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against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LIBE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found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only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manifestly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deleted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in order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safeguard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freedom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speech.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trusted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flaggers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submit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notices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removal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within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designated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area of expertise”.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Moreover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, the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Good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Samaritan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clause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voluntary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acts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dismissed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Committee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grants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Member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States more room to coordinate with the Commission. </w:t>
                              </w:r>
                            </w:p>
                          </w:tc>
                        </w:tr>
                      </w:tbl>
                      <w:p w14:paraId="15EE3DE1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7CC29576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2B92FFA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044E894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FECBC96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t xml:space="preserve">MEPS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want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DSA to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strengthen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gram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copyright</w:t>
                              </w:r>
                              <w:proofErr w:type="gram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protection</w:t>
                              </w:r>
                              <w:bookmarkStart w:id="22" w:name="5.3"/>
                              <w:bookmarkEnd w:id="22"/>
                              <w:proofErr w:type="spellEnd"/>
                            </w:p>
                            <w:p w14:paraId="480BB5E9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28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various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political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parties (EPP, S&amp;D,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Renew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ECR)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"https://www.europarl.europa.eu/doceo/document/E-9-2021-002676_EN.html"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questioned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 the Commission 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role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Digital Services Act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protection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intellectual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property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so,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consideration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fragile situation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due to the Covid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crisis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confirm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pandemic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made the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value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chain (...) more fragile”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Union must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ensure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intellectual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property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upheld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online”.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asked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whether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Executive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agrees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DSA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enhance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safe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harbour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liability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privileges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whether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recognizes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Know Your Business Customer Expansion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reduce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circulation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"https://www.europarl.europa.eu/doceo/document/E-9-2021-002676-ASW_EN.pdf"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response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Commissioner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Breton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confirmed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Commission’s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pledge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support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referring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MAAP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evidence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thereof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),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but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continued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DSA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horizontal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content-neutral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instrument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preserves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liability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exemptions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stood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test of time”. Breton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further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due diligence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obligations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text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proportional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problems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Commission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foresaw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objectives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53F6511F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166B15D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2AAB1F1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281193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BAF14C1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Paris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weighs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in on JURI and CULT draft opinions on the DSA </w:t>
                              </w:r>
                              <w:bookmarkStart w:id="23" w:name="5.4"/>
                              <w:bookmarkEnd w:id="23"/>
                            </w:p>
                            <w:p w14:paraId="26BBED08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The French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authorities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provided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feedback on the Digital Services Act,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time, in support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JURI’s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draft opinion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authored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Geoffroy Didier (EPP, FR).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draft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received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fellow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found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Didier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adhering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own-initiative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adopted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prior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Commission’s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proposal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particular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agreement with the deadline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removal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(MEP Melchior, DK,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Renew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),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stay-down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obligations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(MEP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Wolken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DE, S&amp;D),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appreciate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deviation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the e-commerce Directive,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namely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from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principle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country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origin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the liability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exemption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French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authorities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commend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opinion,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but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further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involvement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authorities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abandon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linking of liability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exemption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due diligence. On the </w:t>
                              </w:r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7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days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withdrawal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deadline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French claim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"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risk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dissuading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services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concerned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within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shorter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periods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necessary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”.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br/>
                                <w:t xml:space="preserve">On the CULT draft opinion,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Verheyen (EPP, DE)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responsible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French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agreement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creation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category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“media service providers”,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exempt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moderation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obligations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Paris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seeks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further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clarification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DSA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interact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instruments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Copyright Directive and the AVMS Directive, and supports a KYBC extension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beyond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just marketplaces.</w:t>
                              </w:r>
                            </w:p>
                          </w:tc>
                        </w:tr>
                      </w:tbl>
                      <w:p w14:paraId="7DB1D7A7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01D4DE9F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15D35D8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49288FF3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1F4D593D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E6D39C0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0"/>
                                        <w:szCs w:val="40"/>
                                        <w:lang w:eastAsia="it-IT"/>
                                      </w:rPr>
                                      <w:t>Piracy</w:t>
                                    </w:r>
                                    <w:bookmarkStart w:id="24" w:name="Piracy"/>
                                    <w:bookmarkEnd w:id="24"/>
                                    <w:proofErr w:type="spellEnd"/>
                                  </w:p>
                                </w:tc>
                              </w:tr>
                            </w:tbl>
                            <w:p w14:paraId="75654582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342743B5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FE7770F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70A6C3F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7D2B62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7DCF613F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inline distT="0" distB="0" distL="0" distR="0" wp14:anchorId="4DDDD8E4" wp14:editId="52D6831C">
                                    <wp:extent cx="1905000" cy="1264920"/>
                                    <wp:effectExtent l="0" t="0" r="0" b="0"/>
                                    <wp:docPr id="7" name="Immagine 7" descr="Immagine che contiene testo, interni, elettronico&#10;&#10;Descrizione generata automa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Immagine 7" descr="Immagine che contiene testo, interni, elettronico&#10;&#10;Descrizione generata automaticamen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2649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French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piracy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authority to study digital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practices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in relation to cultural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goods</w:t>
                              </w:r>
                              <w:bookmarkStart w:id="25" w:name="6.1"/>
                              <w:bookmarkEnd w:id="25"/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With the goal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acquiring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audience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data, HADOPI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published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hyperlink r:id="rId44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a call for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tenders</w:t>
                                </w:r>
                                <w:proofErr w:type="spellEnd"/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 to study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evolution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the French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territory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among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French audience, of the use of websites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offering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immaterial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 cultural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goods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services,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both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lawfully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unlawfully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piracy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authority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analyse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data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looking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economic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model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profile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visitors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websites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motivated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/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originated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access.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take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account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various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accessing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cultural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goods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namely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streaming,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direct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downloads, live streaming, peer-to-peer file sharing, etc.</w:t>
                              </w:r>
                            </w:p>
                          </w:tc>
                        </w:tr>
                      </w:tbl>
                      <w:p w14:paraId="09A3EC24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8B9D9D7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356F925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5FA9F56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CE6DC9B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drawing>
                                  <wp:inline distT="0" distB="0" distL="0" distR="0" wp14:anchorId="0A70B2AD" wp14:editId="208340BC">
                                    <wp:extent cx="1905000" cy="1905000"/>
                                    <wp:effectExtent l="0" t="0" r="0" b="0"/>
                                    <wp:docPr id="6" name="Immagin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Highest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Dutch Court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does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authorise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information-sharing to catch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pirates</w:t>
                              </w:r>
                              <w:bookmarkStart w:id="26" w:name="6.2"/>
                              <w:bookmarkEnd w:id="26"/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The Dutch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recently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setback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Due to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judgment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Supreme Court,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cannot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tackle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downloading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private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individuals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the time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Film distributor Dutch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FilmWorks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request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internet provider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Ziggo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access to 377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pirates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 personal information. In order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recover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costs and fine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Dutch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FilmWorks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needed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access to names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addresses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However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privacy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concerns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outweighed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copyrights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film producers for the Court of first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instance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the Supreme Court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maintained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view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worth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mentioning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piracy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situation in the Netherlands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far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worse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Until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CJEU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judgement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2014, the Dutch government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closing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eye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downloading.</w:t>
                              </w:r>
                            </w:p>
                          </w:tc>
                        </w:tr>
                      </w:tbl>
                      <w:p w14:paraId="163975F9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144E1F5A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13668F3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3EB295D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41569F5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Watermarking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assets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prior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to release -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Pallycon’s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new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piracy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tool</w:t>
                              </w:r>
                              <w:bookmarkStart w:id="27" w:name="6.3"/>
                              <w:bookmarkEnd w:id="27"/>
                            </w:p>
                            <w:p w14:paraId="148EA091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Content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protection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service provider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Pallycon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recently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unveiled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new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watermarking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tool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distributors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news,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"https://www.digitaltveurope.com/2021/06/30/pallycon-launches-distributor-watermarking-solution/"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). The tool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protect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works after production,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prior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release, from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potential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leaks.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Watermarking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works can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both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visible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invisible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shows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owner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asset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question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leaked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– tracing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party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responsible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particular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useful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securing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proxy deliveries.</w:t>
                              </w:r>
                            </w:p>
                          </w:tc>
                        </w:tr>
                      </w:tbl>
                      <w:p w14:paraId="642C5284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6091BF3F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7636882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525EE9F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5262B48B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Spain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adopts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protocol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stronger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response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against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piracy</w:t>
                              </w:r>
                              <w:bookmarkStart w:id="28" w:name="6.4"/>
                              <w:bookmarkEnd w:id="28"/>
                              <w:proofErr w:type="spellEnd"/>
                            </w:p>
                            <w:p w14:paraId="2FB51E7A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Back in April,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Spain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adopted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Protocol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Reinforcement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Copyright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protection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order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fight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piracy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allow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country’s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thrive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protocol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initiative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Ministry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Culture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gathered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signatures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collective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societies, internet providers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associations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cultural and creative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new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protocol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strengthens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existing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streamlined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administrative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procedure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resolve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online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conflicts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protocol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essence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 code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practice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collaborative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taken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tackle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infringements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online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enables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swifter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blocking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mirror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response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Government’s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acknowledgement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potential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high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economic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activity and turnover,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piracy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injure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losses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millions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Spain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committed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investing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1.6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until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2025, to surge production in the country by one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third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1E4272B0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25112AB0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455950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03A50FE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E9F6D8B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Repeat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gram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Copyright</w:t>
                              </w:r>
                              <w:proofErr w:type="gram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infringer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under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fire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from Netflix, Amazon and Hollywood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studios</w:t>
                              </w:r>
                              <w:bookmarkStart w:id="29" w:name="6.5"/>
                              <w:bookmarkEnd w:id="29"/>
                              <w:proofErr w:type="spellEnd"/>
                            </w:p>
                            <w:p w14:paraId="653A2B89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In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settlement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agreement in 2020, the Alliance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Creativity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Entertainment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shut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down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pirate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network Area 51,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operator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agreed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set up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any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new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infringing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However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Netflix, Amazon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several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studios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Hollywood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claim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breach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agreement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Jason Tusa, part of Area 51,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set up a new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streaming.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lawsuit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dating 6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hundreds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popular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titles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made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available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knowingly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for a low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subscription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fee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labelled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“serial mass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infringer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”, Tusa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faces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serious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charges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damages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requests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up to $150,000 per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title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Despite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agreeing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permanently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put an end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infringing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conduct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rebranded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relocated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operations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 a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well-practiced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pattern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deception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fourth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Giants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together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stop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6E5F97F5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2440816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33FBF1FD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32C801E3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0F5BD03C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6F71134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0"/>
                                        <w:szCs w:val="40"/>
                                        <w:lang w:eastAsia="it-IT"/>
                                      </w:rPr>
                                      <w:t>Territoriality</w:t>
                                    </w:r>
                                    <w:bookmarkStart w:id="30" w:name="Territoriality"/>
                                    <w:bookmarkEnd w:id="30"/>
                                    <w:proofErr w:type="spellEnd"/>
                                  </w:p>
                                </w:tc>
                              </w:tr>
                            </w:tbl>
                            <w:p w14:paraId="50504731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3DFD2833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637F38FF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5797CB7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6577944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2BA706C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drawing>
                                  <wp:inline distT="0" distB="0" distL="0" distR="0" wp14:anchorId="66573460" wp14:editId="3A813D0A">
                                    <wp:extent cx="1905000" cy="1066800"/>
                                    <wp:effectExtent l="0" t="0" r="0" b="0"/>
                                    <wp:docPr id="5" name="Immagin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066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issue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a joint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statement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in support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territorial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licensing</w:t>
                              </w:r>
                              <w:bookmarkStart w:id="31" w:name="7.1"/>
                              <w:bookmarkEnd w:id="31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Under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initiative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MEP Sabine Verheyen (EPP, DE), Chair of the committee on culture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Education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54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signed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hyperlink r:id="rId47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a joint statement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 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importance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territorial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licensing for cultural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diversity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pluralism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Frustrated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appearance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amendments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against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territorial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licensing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several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unrelated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reports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report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artificial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intelligence),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call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Rapporteurs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Shadow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Rapporteurs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Coordinators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Parliament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adopt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clear line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avoid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resulting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abstentions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Plenary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votes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criticizer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practice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ignores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allocation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competences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amongst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committees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process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proposals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concern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core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fall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beyond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scope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said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reports and/or committee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competences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denounced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statement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opportunity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MEPs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restate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importance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territorial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licensing,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provide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consumers with diverse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2017 report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findings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remain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accurate: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consumers are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myriad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individuals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different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things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different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purchasing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power,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different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cultures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different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tastes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priorities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[…]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consumers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services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first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language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packaged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delivered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according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preference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reasonable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price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calculated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based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demand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purchasing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power.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 (“Consumer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interest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Digital Market”,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December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2017, </w:t>
                              </w:r>
                              <w:hyperlink r:id="rId48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https://www.netopia.eu/consumer-interest-in-the-digital-single-market/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7807F13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7565DD69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283A14E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3C4E8FDF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7AE3EC87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FEBFA08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 xml:space="preserve">AV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>platforms</w:t>
                                    </w:r>
                                    <w:bookmarkStart w:id="32" w:name="AV_platforms"/>
                                    <w:bookmarkEnd w:id="32"/>
                                    <w:proofErr w:type="spellEnd"/>
                                  </w:p>
                                </w:tc>
                              </w:tr>
                            </w:tbl>
                            <w:p w14:paraId="14F5FF44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2CF23262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6ED02704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E793B2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3AEF33D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275C40E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drawing>
                                  <wp:inline distT="0" distB="0" distL="0" distR="0" wp14:anchorId="0B0F6D45" wp14:editId="69DFB23A">
                                    <wp:extent cx="1905000" cy="1264920"/>
                                    <wp:effectExtent l="0" t="0" r="0" b="0"/>
                                    <wp:docPr id="4" name="Immagine 4" descr="Immagine che contiene testo&#10;&#10;Descrizione generata automa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magine 4" descr="Immagine che contiene testo&#10;&#10;Descrizione generata automaticamen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2649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Financing and investment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obligations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in Spanish AVMSD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implementation</w:t>
                              </w:r>
                              <w:bookmarkStart w:id="33" w:name="9.1"/>
                              <w:bookmarkEnd w:id="33"/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Netflix, Amazon,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YouTube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partake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financing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RTVE's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budgets,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accordance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modifications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made in the new text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Communication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 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aforementioned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must allocate 1.5%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Spanish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Secretary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State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Telecommunications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Digital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confirms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obligations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seek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establish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level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playing field and to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equalise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rules” for providers in the AV market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competing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audience.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definition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includes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linear free-to-air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television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linear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television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video-on-demand providers and video-sharing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Very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importantly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Draft Bill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reinforces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promotion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work in works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independent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producers,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increasing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investment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obligations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providers must allocate 3.5%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work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independent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production -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increase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compared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current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0.9% - and 2% to financing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independent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producer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-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increase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compared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1.8 %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current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-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both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carried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out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official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language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State or in one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official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languages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Autonomous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Communities.</w:t>
                              </w:r>
                            </w:p>
                          </w:tc>
                        </w:tr>
                      </w:tbl>
                      <w:p w14:paraId="05A38D88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3BDF091B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569F705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5423FE5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766D24A6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inline distT="0" distB="0" distL="0" distR="0" wp14:anchorId="45C543D2" wp14:editId="3BC7A695">
                                    <wp:extent cx="1905000" cy="1264920"/>
                                    <wp:effectExtent l="0" t="0" r="0" b="0"/>
                                    <wp:docPr id="3" name="Immagin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2649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evolving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relationship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between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VOD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holders</w:t>
                              </w:r>
                              <w:bookmarkStart w:id="34" w:name="9.2"/>
                              <w:bookmarkEnd w:id="34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SVOD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experienced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tremendous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growth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acquiring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enabling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surge in sales. Covid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granted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exposure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known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If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paid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fee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or minimum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guarantees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MGs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),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creators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sell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across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multiple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Depending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a 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streamer,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MGs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/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licence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fees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important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revenue share.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Furthermore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more revenue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come,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consideration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release windows,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territorial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–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deals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non-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exclusive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Mainstream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pose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stricter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conditions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holders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premier status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holdbacks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In general, streaming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deals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last from one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three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shorter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windows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aiming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keep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fresh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catalogue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lower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price.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holders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demand pricing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accordance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markets and windows to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exploited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lower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prices in relation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amount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titles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sold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Pricing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adjust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timing, </w:t>
                              </w:r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trends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behaviour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competitors. Read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article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Screen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Daily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full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"https://www.screendaily.com/features/how-can-rights-holders-navigate-the-swiftly-evolving-svod-landscape/5161003.article"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</w:p>
                          </w:tc>
                        </w:tr>
                      </w:tbl>
                      <w:p w14:paraId="03E0801C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3DA6707C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7BD5EB48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45F462F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35361093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Netflix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increasingly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creates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more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content</w:t>
                              </w:r>
                              <w:bookmarkStart w:id="35" w:name="9.3"/>
                              <w:bookmarkEnd w:id="35"/>
                              <w:proofErr w:type="spellEnd"/>
                            </w:p>
                            <w:p w14:paraId="7626B4D6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According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 </w:t>
                              </w:r>
                              <w:hyperlink r:id="rId51" w:anchor="axzz6zRjjqgYw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Ampere Analysis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Netflix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commissions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novel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scripted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surpassing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large broadcasters like ZDF, France TV and BBC. In 2020, the streamer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commissioned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72 works, versus 43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prior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broadcasters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previously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driving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creation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creative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region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getting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increasing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attention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streaming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giants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Content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therefore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shifting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global.</w:t>
                              </w:r>
                            </w:p>
                          </w:tc>
                        </w:tr>
                      </w:tbl>
                      <w:p w14:paraId="4B865774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58B029CF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086037F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AD2358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7940BF64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Streaming revenue and users -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predicted</w:t>
                              </w:r>
                              <w:bookmarkStart w:id="36" w:name="9.4"/>
                              <w:bookmarkEnd w:id="36"/>
                              <w:proofErr w:type="spellEnd"/>
                            </w:p>
                            <w:p w14:paraId="43FB4D53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In 2020,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subscription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VOD services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accounted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$59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revenue,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constituted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growth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over 30% from 2019,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revenue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amounted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$45bn.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Estimates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foresee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growth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up to $71bn, with the $100bn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reality in 2024. The United States, China and the UK are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generating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revenue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$32.1bn, $11.9bn and $2.9bn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respectively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Japan and Germany follow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user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SVOD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expected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milestone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worldwide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hit 1.4bil 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users in 2025.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penetration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rate for 2021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expected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14.3%,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highest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rates in the US,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Sweden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Canada,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Norway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the UK.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more data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presented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TradingPlatforms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"https://tradingplatforms.com/blog/2021/06/30/video-streaming-to-pass-1b-users-globally-in-2021-revenue-to-reach-100b-in-2024/"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0D5B733A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6E509610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2315F2C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4C2BB71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499C3A6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Polish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VOD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levy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benefits film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industry</w:t>
                              </w:r>
                              <w:bookmarkStart w:id="37" w:name="9.5"/>
                              <w:bookmarkEnd w:id="37"/>
                              <w:proofErr w:type="spellEnd"/>
                            </w:p>
                            <w:p w14:paraId="39F37712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Last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Poland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introduced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levy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VOD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operating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country, in order to support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amidst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difficulties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raised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Covid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crisis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pushing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the tax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Accordingly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1.5%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revenues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Polish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Institute (PFI),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either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attained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through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subscriptions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or advertising,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depending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figure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higher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head of the PFI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 </w:t>
                              </w:r>
                              <w:hyperlink r:id="rId52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news outlet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sum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obtained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levy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higher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expected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makers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benefit from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around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€4.87-5.09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441CE1F9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1C0EEC7F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2EC7364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3AE66F3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03938CD2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Netflix’s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(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lack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of)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growth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in the Q2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requires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change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of strategy</w:t>
                              </w:r>
                              <w:bookmarkStart w:id="38" w:name="9.6"/>
                              <w:bookmarkEnd w:id="38"/>
                            </w:p>
                            <w:p w14:paraId="4E8E0F1B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Seeing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second quarter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growth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shrink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1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subscribers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Netflix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take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different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strategy and target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older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viewers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In the first quarter, Netflix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already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failed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growth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estimates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numbers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signal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giant’s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smallest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progression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2011.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especially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painful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blow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after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success in 2020, with 37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new accounts made.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younger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subscribers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subscription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themselves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gaining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access via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shared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accounts,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younger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demographic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no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longer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guarantee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figures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instance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in the UK, 80% of the 18 to 34 group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access to an account.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subscribers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come from the 45-54 age group,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but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bigger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opportunity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resides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55-64 age group, the </w:t>
                              </w:r>
                              <w:hyperlink r:id="rId53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Guardian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claims</w:t>
                                </w:r>
                                <w:proofErr w:type="spellEnd"/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In the UK, the pandemic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driven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subscription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figures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38%-50%,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leaving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potential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subscribers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 With the tech-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savvy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generations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over, Netflix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create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targeting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older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groups,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crime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documentaries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3544E30D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2B7AF3E0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4A4C5F8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21FC7EF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6EAB24A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Viaplay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reaches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milestone in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successful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Q2</w:t>
                              </w:r>
                              <w:bookmarkStart w:id="39" w:name="9.7"/>
                              <w:bookmarkEnd w:id="39"/>
                            </w:p>
                            <w:p w14:paraId="14C69987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NENT’s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streaming service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Viaplay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gained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140,000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second quarter, 27,000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outside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Scandinavia,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response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launch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regions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March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>onwards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total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Viaplay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21%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growth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standing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3.29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accounts. At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Viaplay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set a target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half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international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subscribers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 a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400,000 more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region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By 2025, NENT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expects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hit 10.5m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subscribers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Viaplay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taking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strategy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original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production, with 50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own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titles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set for release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Viaplay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continue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expand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launching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Poland, The Netherlands and,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2021, in the US.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success,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NENT’s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CEO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adds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“The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momentum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established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continued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second quarter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five-year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strategy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period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track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goals.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first quarter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Viaplay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largest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revenue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generating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major milestone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transformation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.”</w:t>
                              </w:r>
                            </w:p>
                          </w:tc>
                        </w:tr>
                      </w:tbl>
                      <w:p w14:paraId="6E9EFEE0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204B98D5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2EBF16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247F26D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0F32DFC6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Warner Bros to supply </w:t>
                              </w:r>
                              <w:proofErr w:type="gram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10</w:t>
                              </w:r>
                              <w:proofErr w:type="gram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or more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titles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to HBO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next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year</w:t>
                              </w:r>
                              <w:bookmarkStart w:id="40" w:name="9.8"/>
                              <w:bookmarkEnd w:id="40"/>
                              <w:proofErr w:type="spellEnd"/>
                            </w:p>
                            <w:p w14:paraId="2DBF71D8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HBO Max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receive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10 or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exclusive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titles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Warner Bros.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next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however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distribution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strategy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up for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change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returning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prior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theatrical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release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approach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window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exclusive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distribution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briefer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i.e. a 45 day window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prominent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titles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Warner’s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CEO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unlikely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go “back to the way the world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2015, 2016 or 2017”,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theatrical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windows of 75 up to 90 days.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Nonetheless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distribution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plans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assessed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film. The studio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increase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volume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original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productions for the streamer.</w:t>
                              </w:r>
                            </w:p>
                          </w:tc>
                        </w:tr>
                      </w:tbl>
                      <w:p w14:paraId="3D00CE02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1098CB9F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1B9FDEA2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758523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2E32C439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0C84603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0"/>
                                        <w:szCs w:val="40"/>
                                        <w:lang w:eastAsia="it-IT"/>
                                      </w:rPr>
                                      <w:t>Cinema &amp; TV</w:t>
                                    </w:r>
                                    <w:bookmarkStart w:id="41" w:name="Cinema_&amp;_TV"/>
                                    <w:bookmarkEnd w:id="41"/>
                                  </w:p>
                                </w:tc>
                              </w:tr>
                            </w:tbl>
                            <w:p w14:paraId="6C9E7E18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3255AB78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5F2C9DA1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E26B5F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43018EC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DA80CD8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inline distT="0" distB="0" distL="0" distR="0" wp14:anchorId="754E6D0E" wp14:editId="5CBAA480">
                                    <wp:extent cx="1905000" cy="1066800"/>
                                    <wp:effectExtent l="0" t="0" r="0" b="0"/>
                                    <wp:docPr id="2" name="Immagine 2" descr="Immagine che contiene testo&#10;&#10;Descrizione generata automa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Immagine 2" descr="Immagine che contiene testo&#10;&#10;Descrizione generata automaticamen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066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Consultation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privatisation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channel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4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started</w:t>
                              </w:r>
                              <w:bookmarkStart w:id="42" w:name="10.1"/>
                              <w:bookmarkEnd w:id="42"/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In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consultation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released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culture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minister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John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Whittingdale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beginning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government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strongly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argues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privatization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public broadcaster.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description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consultation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government notes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“Channel 4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successfully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delivered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remit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aims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objectives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began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broadcasting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40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ago,”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but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“the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evolving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media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landscape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material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challenges to Channel 4’s future success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sustainability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under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current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ownership model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remit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.”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Although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government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pushing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change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ownership,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keep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Channel 4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public service broadcaster.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Potential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purchasers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include Discovery, Netflix or Amazon.</w:t>
                              </w:r>
                            </w:p>
                          </w:tc>
                        </w:tr>
                      </w:tbl>
                      <w:p w14:paraId="2DCEB5F1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5E20AA23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78665D0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7DE4AEC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62BEB0A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anchor distT="0" distB="0" distL="0" distR="0" simplePos="0" relativeHeight="251658240" behindDoc="0" locked="0" layoutInCell="1" allowOverlap="0" wp14:anchorId="7F45AA6C" wp14:editId="2EA7EEF7">
                                    <wp:simplePos x="0" y="0"/>
                                    <wp:positionH relativeFrom="column">
                                      <wp:align>right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905000" cy="1057275"/>
                                    <wp:effectExtent l="0" t="0" r="0" b="9525"/>
                                    <wp:wrapSquare wrapText="bothSides"/>
                                    <wp:docPr id="17" name="Immagine 17" descr="Immagine che contiene tappeto, arredamento, pavimento, persona&#10;&#10;Descrizione generata automa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" name="Immagine 17" descr="Immagine che contiene tappeto, arredamento, pavimento, persona&#10;&#10;Descrizione generata automaticamen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057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“Coming to Film in France”: Cannes event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needs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attract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producers to France</w:t>
                              </w:r>
                              <w:bookmarkStart w:id="43" w:name="10.2"/>
                              <w:bookmarkEnd w:id="43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On the 8th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 round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organised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during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Cannes Film Festival by the French Centre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Nationale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du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Cinéma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(CNC)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discuss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attract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international producers to France to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projects. The round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titled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: “Coming to Film in France”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part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daily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sessions: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Overseas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Export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Drawing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Power, a Challenge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Industry”.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CNC’s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International Affairs director Mathieu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Fournet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focussed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crucial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leading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role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France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driving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global recovery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 .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Among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strategies,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Fournet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mentioned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massive investments in new studio facilities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attract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international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shoots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 brand-new office set to open in Los Angeles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two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permanent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employees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exceptional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stimulus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fight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pandemic, and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recent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merger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between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TVFI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Unifrance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4912FC50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0A0CD3AE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13DED4C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1145F8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9217BC6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Producers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choose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Spain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because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quadrupling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of government funds</w:t>
                              </w:r>
                              <w:bookmarkStart w:id="44" w:name="10.3"/>
                              <w:bookmarkEnd w:id="44"/>
                            </w:p>
                            <w:p w14:paraId="0496324D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In the last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Spain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more and more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attractive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destination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international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shoots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after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Sánchez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 Labour government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raised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funding for international projects from €3 to €12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start of the first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COVID.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Spanish government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>further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raised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funding for AVS with €1.6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period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2021-2025 in order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encourage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big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foreign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players to set up production offices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Spain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Sánchez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 plan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already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paying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off with international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shoots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Spain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already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surpassing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-pandemic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levels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</w:p>
                          </w:tc>
                        </w:tr>
                      </w:tbl>
                      <w:p w14:paraId="55A0C628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6694E35A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30ACB52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5706021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78E2DB78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Licensing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deal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between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Universal and Amazon</w:t>
                              </w:r>
                              <w:bookmarkStart w:id="45" w:name="10.4"/>
                              <w:bookmarkEnd w:id="45"/>
                            </w:p>
                            <w:p w14:paraId="320A7A63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Starting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2022, Universal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head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exclusively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Amazon’s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Prime Video after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premiering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Universal’s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own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streaming service Peacock.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Besides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movies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premiering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after 2022, Amazon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streaming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certain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owned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Universal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Entertainment Group.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part of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multiyear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licensing agreement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between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Universal and Amazon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arrives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Amazon looks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expand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offerings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services.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follows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Amazon's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proposed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acquisition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MGM.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Earlier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NBCUniversal’s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streaming service ‘Peacock’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announced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exclusive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streaming home of Universal, DreamWorks,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Illumination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Focus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companies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no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four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months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after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their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theatrical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debut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become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available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Peacock.</w:t>
                              </w:r>
                            </w:p>
                          </w:tc>
                        </w:tr>
                      </w:tbl>
                      <w:p w14:paraId="1C8B8CFE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6CAF756F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2142CBA5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578202E3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00DBF46C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239075B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>Festivals</w:t>
                                    </w:r>
                                    <w:bookmarkStart w:id="46" w:name="Festivals"/>
                                    <w:bookmarkEnd w:id="46"/>
                                    <w:proofErr w:type="spellEnd"/>
                                  </w:p>
                                </w:tc>
                              </w:tr>
                            </w:tbl>
                            <w:p w14:paraId="113C75DB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31B5A9E0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1A8B478B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75260A7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74C284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6C4467B9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inline distT="0" distB="0" distL="0" distR="0" wp14:anchorId="7B874BC6" wp14:editId="1072E72A">
                                    <wp:extent cx="1905000" cy="1905000"/>
                                    <wp:effectExtent l="0" t="0" r="0" b="0"/>
                                    <wp:docPr id="1" name="Immagin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Thierry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Frémaux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: “2020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disastrous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in the history of the cinema”</w:t>
                              </w:r>
                              <w:bookmarkStart w:id="47" w:name="11.1"/>
                              <w:bookmarkEnd w:id="47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Right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before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start of the Cannes Film Festival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beginning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festival’s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artistic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director, 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Thierry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Frémaux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held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-festival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press conference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openly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discussed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various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pressing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Cannes and the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general. “2019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great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”, 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said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“2020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disastrous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history of the Cinema. Movie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theatres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closed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around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world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long time.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Every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time the cinema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a new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technology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– TV, video, the internet – the cinema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defended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itself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.”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Frémaux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furthermore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discussed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role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online streaming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today’s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ecosystem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important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rule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shown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theatres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“Netflix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does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abide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rule” the director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said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</w:p>
                          </w:tc>
                        </w:tr>
                      </w:tbl>
                      <w:p w14:paraId="5FB31B2A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F6DAE16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057BC175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7D5E149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3DBC56E3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it-IT"/>
                                </w:rPr>
                                <w:drawing>
                                  <wp:anchor distT="0" distB="0" distL="0" distR="0" simplePos="0" relativeHeight="251658240" behindDoc="0" locked="0" layoutInCell="1" allowOverlap="0" wp14:anchorId="231AF008" wp14:editId="5B77181B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905000" cy="1905000"/>
                                    <wp:effectExtent l="0" t="0" r="0" b="0"/>
                                    <wp:wrapSquare wrapText="bothSides"/>
                                    <wp:docPr id="16" name="Immagine 16" descr="Immagine che contiene strada, edificio, esterni&#10;&#10;Descrizione generata automa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Immagine 16" descr="Immagine che contiene strada, edificio, esterni&#10;&#10;Descrizione generata automaticamen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Will Cannes be the start of a Global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Comeback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for the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?</w:t>
                              </w:r>
                              <w:bookmarkStart w:id="48" w:name="11.2"/>
                              <w:bookmarkEnd w:id="48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After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lockdown, the Cannes Film Festival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turning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point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cinemas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reopened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across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world and box-office targets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going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through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roof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fact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Cannes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pushed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back the event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almost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two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months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due to COVID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restrictions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France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might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good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because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meantime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cinemas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Europe and the US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reopened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the first film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surpass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box office of €100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million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passed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COVID-19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forced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change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the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from production and financing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through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distribution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exhibition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in 12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months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business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previous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decade.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endless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debates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over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windowing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settled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gram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 a</w:t>
                              </w:r>
                              <w:proofErr w:type="gram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matter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days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theaters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shuttered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studios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pivoted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Universal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signed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AMC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summer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2020 to crunch the window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between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theatrical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release and premium VOD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between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17 and 45 days,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depending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box office performance.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Disney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announced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day-and-date releases in the U.S. for some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biggest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titles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Disney+, and,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course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Warner Bros. made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2021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titles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day-and-date releases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streamer HBO Max.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cinemas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reopen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buyers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assess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offer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Cannes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question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becomes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whether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exhibitors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put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those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broken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theatrical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windows back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together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again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always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interesting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fast audiences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excited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about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new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presented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Cannes. And for 2021, Cannes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extra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important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​​“re-starter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pistol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 for the global film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big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titles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“Annette”)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releasing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French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cinemas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day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premiere in Cannes.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Nothing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going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back to the way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be.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accept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But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doesn’t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be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bad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,”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said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Arianna Bocco,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president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day-and-date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pioneer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IFC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pandemic, “just speed[s] up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inevitable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 by forcing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adjust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consumer demand and take “a 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bespoke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approach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”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releasing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movies: “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You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can’t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really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one-size-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approach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theatrical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distribution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anymore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.”</w:t>
                              </w:r>
                            </w:p>
                          </w:tc>
                        </w:tr>
                      </w:tbl>
                      <w:p w14:paraId="1D489B55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77B9541B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283AFCA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3ED3933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BDC8F44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‘I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Never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Cry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’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wins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Mons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International Film Festival</w:t>
                              </w:r>
                              <w:bookmarkStart w:id="49" w:name="11.3"/>
                              <w:bookmarkEnd w:id="49"/>
                            </w:p>
                            <w:p w14:paraId="7770D620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After one and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half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lockdown,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International Film Festival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first film event in 2021 to take place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entirely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person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Usually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festival takes place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during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end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winter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in 2020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last film event to take place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before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pandemic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started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Therefore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festival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exceptionally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held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From 9 to 16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international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competition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took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place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Belgium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diametrically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opposed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genres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In the end, the film ‘I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Never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 by Piotr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Domalewski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crowned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winner of the international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competition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price for best director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Philipp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Yurev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effort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directing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‘The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Whaler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Boy’.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Besides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regular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competition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International Film Festival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premiered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14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Belgian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55C2AB85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79FBB615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96F877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52BD914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88549E6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t xml:space="preserve">Series Mania 2021 takes place from 26 August to 2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September</w:t>
                              </w:r>
                              <w:bookmarkStart w:id="50" w:name="11.4"/>
                              <w:bookmarkEnd w:id="50"/>
                              <w:proofErr w:type="spellEnd"/>
                            </w:p>
                            <w:p w14:paraId="3C70E993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More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details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revealed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upcoming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2021 Series Mania Festival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accompanying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Forum; the Festival and Forum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run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from the 26th of August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until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2nd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September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Lille, France.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year's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edition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festival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over 50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series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including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premieres of the new seasons of ‘Money Heist’,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Criminal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Games - The 70s’,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Mytho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’ and ‘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Engagés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: XAOC’. The grand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prize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for best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series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actress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awarded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screenwriter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director and producer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Hagai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Levi,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chairs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international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competition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Series Mania Forum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begin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the 31st of August and focus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topics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creativity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writing,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but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also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paradigm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shifts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new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economic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models and the challenges of the green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transition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Registrations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open on the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"https://seriesmania.com/forum/en/registrations-2021/"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official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 xml:space="preserve"> website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4D7A572F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76AD589D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00457FF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08D9AD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732D848E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Transilvania International Film Festival </w:t>
                              </w:r>
                              <w:proofErr w:type="spellStart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almost</w:t>
                              </w:r>
                              <w:proofErr w:type="spellEnd"/>
                              <w:r w:rsidRPr="00DA3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 over</w:t>
                              </w:r>
                              <w:bookmarkStart w:id="51" w:name="11.5"/>
                              <w:bookmarkEnd w:id="51"/>
                            </w:p>
                            <w:p w14:paraId="34432FCD" w14:textId="77777777" w:rsidR="00DA30B2" w:rsidRPr="00DA30B2" w:rsidRDefault="00DA30B2" w:rsidP="00DA30B2">
                              <w:pPr>
                                <w:spacing w:before="150" w:after="15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On Sunday, the Transilvania International Film Festival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come to an end.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During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afternoon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screening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Festivals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Trophy winner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celebrated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festival,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running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since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Friday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last week,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includes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Romanian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premieres,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nine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those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feature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debuts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festival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opened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comedy film ‘The People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Upstairs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’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directed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Cesc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Gay.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jury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made up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members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: Guillermo Arriaga (Mexico),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Katriel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Schory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(Israel), Scott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Coffey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(USA), Maria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Popistașu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(Romania) and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fifth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unconfirmed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member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237951D8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054C19C7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8807BE2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772354D4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4A58378A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385AD5A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>Recent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 xml:space="preserve"> studies</w:t>
                                    </w:r>
                                    <w:bookmarkStart w:id="52" w:name="recent_studies"/>
                                    <w:bookmarkEnd w:id="52"/>
                                  </w:p>
                                </w:tc>
                              </w:tr>
                            </w:tbl>
                            <w:p w14:paraId="355774A9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217A3643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241D7B40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3A44D7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2543657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A0DFA2E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drawing>
                                  <wp:anchor distT="0" distB="0" distL="0" distR="0" simplePos="0" relativeHeight="251658240" behindDoc="0" locked="0" layoutInCell="1" allowOverlap="0" wp14:anchorId="02E49C4E" wp14:editId="174CFD4F">
                                    <wp:simplePos x="0" y="0"/>
                                    <wp:positionH relativeFrom="column">
                                      <wp:align>right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905000" cy="1057275"/>
                                    <wp:effectExtent l="0" t="0" r="0" b="9525"/>
                                    <wp:wrapSquare wrapText="bothSides"/>
                                    <wp:docPr id="15" name="Immagin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057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Diversity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inclusion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sector</w:t>
                              </w:r>
                              <w:bookmarkStart w:id="53" w:name="12.1"/>
                              <w:bookmarkEnd w:id="53"/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novel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IRIS Plus report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diversity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inclusion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published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Various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topics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discussed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including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D&amp;I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ambit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content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production and on-screen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representation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films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series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report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divided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six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first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dealing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diversity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inclusion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practical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legal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definitions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alongside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tools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can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this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regard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The second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deals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measures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taken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by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Union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international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level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order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safeguard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D&amp;I in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including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legislation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the new Creative Europe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programme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National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initiatives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best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practises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dealt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chapters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3 and 4,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respectively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fifth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provides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overview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case-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with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giving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summary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state of play in Europe. At the end of 2020,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several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issues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raised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namely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difficulties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assessing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progress in on-screen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representation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difficulty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gathering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assessing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data on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diversity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create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meaningful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comparisons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between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states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and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lack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an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intersectional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approach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- by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inviting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underrepresented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groups to be a part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conversation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25986D42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313C11C4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780E5C29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05612531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6A360C56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8824FA3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>Events</w:t>
                                    </w:r>
                                    <w:bookmarkStart w:id="54" w:name="Events"/>
                                    <w:bookmarkEnd w:id="54"/>
                                  </w:p>
                                </w:tc>
                              </w:tr>
                            </w:tbl>
                            <w:p w14:paraId="36841D34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7ADC7F58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59F28136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3577C92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76C21D8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753D93F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MIA Market -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Accreditations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are open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Accreditations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the 7th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edition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MIA Market are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available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industry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professionals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promotional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early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bird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price of 180 €. Regular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accreditation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kick in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starting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August 24th.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MIA,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will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be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held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in Rome and on the MIA Digital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platform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October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13th to 17th.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Please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 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begin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instrText xml:space="preserve"> HYPERLINK "https://my.miamarket.it/accreditation/" \t "_blank" </w:instrTex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separate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007C89"/>
                                  <w:sz w:val="20"/>
                                  <w:szCs w:val="20"/>
                                  <w:u w:val="single"/>
                                  <w:lang w:eastAsia="it-IT"/>
                                </w:rPr>
                                <w:t>here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fldChar w:fldCharType="end"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 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registration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page</w:t>
                              </w:r>
                            </w:p>
                          </w:tc>
                        </w:tr>
                      </w:tbl>
                      <w:p w14:paraId="0FF497FF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F6CF439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6E46D9D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7882A81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1E20FBE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Watch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EAO’s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>webinars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t xml:space="preserve"> on the DSA!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Over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past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months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European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Audiovisual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Observatory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organised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series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sessions on the 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Digital Services Act,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delve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deeper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into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key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questions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of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upcoming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regulation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explore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relation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other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EU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instruments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understand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its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impact on the cultural and creative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sector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The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five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successful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webinars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enabled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structured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discussions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with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experts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and stakeholders,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which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attracted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many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viewers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.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Should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you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have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missed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them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, do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not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hesitate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to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watch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 xml:space="preserve"> the recordings </w:t>
                              </w:r>
                              <w:proofErr w:type="spellStart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below</w:t>
                              </w:r>
                              <w:proofErr w:type="spellEnd"/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t>: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hyperlink r:id="rId59" w:tgtFrame="_blank" w:history="1"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Introductory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conference : The new Digital Services Act Package: a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paradigm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shift?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hyperlink r:id="rId60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Webinar 1 :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Transparency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of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content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moderation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on social media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hyperlink r:id="rId61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Webinar 2 :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Gatekeepers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in the DSA Package: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What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about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VoD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?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hyperlink r:id="rId62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Webinar 3 : Copyright and the DSA</w:t>
                                </w:r>
                              </w:hyperlink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 </w:t>
                              </w:r>
                              <w:r w:rsidRPr="00DA30B2"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hyperlink r:id="rId63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Webinar 4 : The DSA and the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fight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against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disinformation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14:paraId="4778544D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2F21404A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72DBE118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8ACF10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11"/>
                                <w:gridCol w:w="2165"/>
                                <w:gridCol w:w="1674"/>
                                <w:gridCol w:w="1748"/>
                              </w:tblGrid>
                              <w:tr w:rsidR="00DA30B2" w:rsidRPr="00DA30B2" w14:paraId="4F150ED4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9AC2F86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Event Festival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DA7FCF3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proofErr w:type="gram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Location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09FC4E1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Dates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C50B3F8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Link to website</w:t>
                                    </w:r>
                                  </w:p>
                                </w:tc>
                              </w:tr>
                              <w:tr w:rsidR="00DA30B2" w:rsidRPr="00DA30B2" w14:paraId="485C994B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5E6BDC5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Transilvania Film Festival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00B17D8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Cluj-Napoca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49E74E3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23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July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 - 1 August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DF703E1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64" w:tgtFrame="_blank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5E0B651B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371A1D2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Sundance Film Festival London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959CB61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London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4DC3D20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29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July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 - 1 August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021DC40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65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0F6C80CF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6329F56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Locarno Film Festival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F17A0FA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Locarno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8875EAE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4 - 14 August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C47F41B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66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2F9E74B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096463C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Fantasia International Film Festival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0115F1D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Montreal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57AA3EB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5 - 25 August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CEF33AD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67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6644FEE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CF0C73A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New Horizon IFF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C17FD18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Wroclaw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F5579D4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12 - 22 August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D2F9A73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68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28302306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FF49912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Sarajevo Film Festival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5A1329C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Sarajevo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41F7A3D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13 - 20 August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6A161C1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69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5B6A9438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9BC6509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lastRenderedPageBreak/>
                                      <w:t>Edinburgh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 International Film Festival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B7CEB87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Edinburgh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2646B0A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18 - 25 August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16B4609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70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45B6B80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2C51717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Karlovy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Vary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 IFF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E1392A9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Karlovy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Vary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FEE5E45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20 - 28 August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6A36718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71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686D266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DBE696B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IndieLisboa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CDED9ED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Lisbon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C5B51CE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21 August -</w:t>
                                    </w: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br/>
                                      <w:t xml:space="preserve">6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September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65E3D95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72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282A3D3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E678D92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SeriesMania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5AEE472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Lille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17EAB0D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26 August -</w:t>
                                    </w: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br/>
                                      <w:t xml:space="preserve">2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September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374F00F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73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2C5012B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77BA260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Venice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 International Film Festival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D112194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Venice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5420966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1 - 11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September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16F77B5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74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073ECB3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6EB375A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Helsinki International Film Festival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8B72523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Helsinki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518A312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16 - 26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September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D34A230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75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  <w:tr w:rsidR="00DA30B2" w:rsidRPr="00DA30B2" w14:paraId="353573E9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F065379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San Sebastian Film Festival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0BD0AAC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Donostia-San Sebastian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F4F276C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17 - 25 </w:t>
                                    </w:r>
                                    <w:proofErr w:type="spellStart"/>
                                    <w:r w:rsidRPr="00DA30B2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September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AA84A41" w14:textId="77777777" w:rsidR="00DA30B2" w:rsidRPr="00DA30B2" w:rsidRDefault="00DA30B2" w:rsidP="00DA30B2">
                                    <w:pPr>
                                      <w:spacing w:before="150" w:after="150" w:line="4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76" w:history="1">
                                      <w:r w:rsidRPr="00DA30B2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20"/>
                                          <w:szCs w:val="20"/>
                                          <w:u w:val="single"/>
                                          <w:lang w:eastAsia="it-IT"/>
                                        </w:rPr>
                                        <w:t>link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EAC7262" w14:textId="77777777" w:rsidR="00DA30B2" w:rsidRPr="00DA30B2" w:rsidRDefault="00DA30B2" w:rsidP="00DA30B2">
                              <w:pPr>
                                <w:spacing w:after="0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3DA80BDD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78573E51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29DE9302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1D10D107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4CAAD8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DA30B2" w:rsidRPr="00DA30B2" w14:paraId="5345F3B0" w14:textId="77777777">
                                <w:tc>
                                  <w:tcPr>
                                    <w:tcW w:w="0" w:type="auto"/>
                                    <w:shd w:val="clear" w:color="auto" w:fill="4CAAD8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5FE9925" w14:textId="77777777" w:rsidR="00DA30B2" w:rsidRPr="00DA30B2" w:rsidRDefault="00DA30B2" w:rsidP="00DA30B2">
                                    <w:pPr>
                                      <w:spacing w:after="0" w:line="54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proofErr w:type="spellStart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>Interesting</w:t>
                                    </w:r>
                                    <w:proofErr w:type="spellEnd"/>
                                    <w:r w:rsidRPr="00DA30B2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it-IT"/>
                                      </w:rPr>
                                      <w:t xml:space="preserve"> links</w:t>
                                    </w:r>
                                    <w:bookmarkStart w:id="55" w:name="Interesting_links"/>
                                    <w:bookmarkEnd w:id="55"/>
                                  </w:p>
                                </w:tc>
                              </w:tr>
                            </w:tbl>
                            <w:p w14:paraId="3DA27936" w14:textId="77777777" w:rsidR="00DA30B2" w:rsidRPr="00DA30B2" w:rsidRDefault="00DA30B2" w:rsidP="00DA30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292FCD2A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5ABA89E5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DA30B2" w:rsidRPr="00DA30B2" w14:paraId="006D701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DA30B2" w:rsidRPr="00DA30B2" w14:paraId="0A02B1D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148EBAF" w14:textId="77777777" w:rsidR="00DA30B2" w:rsidRPr="00DA30B2" w:rsidRDefault="00DA30B2" w:rsidP="00DA30B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77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Future Leaders 2021: sales and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acquisitions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executives to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watch</w:t>
                                </w:r>
                                <w:proofErr w:type="spellEnd"/>
                              </w:hyperlink>
                            </w:p>
                            <w:p w14:paraId="25867C15" w14:textId="77777777" w:rsidR="00DA30B2" w:rsidRPr="00DA30B2" w:rsidRDefault="00DA30B2" w:rsidP="00DA30B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78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At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Série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Series,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European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series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professionals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discuss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collaboration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between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Spain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and France</w:t>
                                </w:r>
                              </w:hyperlink>
                            </w:p>
                            <w:p w14:paraId="3352ED7F" w14:textId="77777777" w:rsidR="00DA30B2" w:rsidRPr="00DA30B2" w:rsidRDefault="00DA30B2" w:rsidP="00DA30B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79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The Movies Are Back.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But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What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Are Movies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Now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?</w:t>
                                </w:r>
                              </w:hyperlink>
                            </w:p>
                            <w:p w14:paraId="0F6E0000" w14:textId="77777777" w:rsidR="00DA30B2" w:rsidRPr="00DA30B2" w:rsidRDefault="00DA30B2" w:rsidP="00DA30B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80" w:lineRule="atLeast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80" w:tgtFrame="_blank" w:history="1"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The CNC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intends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to make France a world leader in film </w:t>
                                </w:r>
                                <w:proofErr w:type="spellStart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shoots</w:t>
                                </w:r>
                                <w:proofErr w:type="spellEnd"/>
                                <w:r w:rsidRPr="00DA30B2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 xml:space="preserve"> and digital production</w:t>
                                </w:r>
                              </w:hyperlink>
                            </w:p>
                          </w:tc>
                        </w:tr>
                      </w:tbl>
                      <w:p w14:paraId="246CE3D7" w14:textId="77777777" w:rsidR="00DA30B2" w:rsidRPr="00DA30B2" w:rsidRDefault="00DA30B2" w:rsidP="00DA30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01712887" w14:textId="77777777" w:rsidR="00DA30B2" w:rsidRPr="00DA30B2" w:rsidRDefault="00DA30B2" w:rsidP="00DA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BCC0082" w14:textId="77777777" w:rsidR="00DA30B2" w:rsidRPr="00DA30B2" w:rsidRDefault="00DA30B2" w:rsidP="00DA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</w:p>
        </w:tc>
      </w:tr>
    </w:tbl>
    <w:p w14:paraId="70FD05D4" w14:textId="77777777" w:rsidR="00BE2B38" w:rsidRDefault="00BE2B38"/>
    <w:sectPr w:rsidR="00BE2B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0457"/>
    <w:multiLevelType w:val="multilevel"/>
    <w:tmpl w:val="79F4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B2"/>
    <w:rsid w:val="00BE2B38"/>
    <w:rsid w:val="00DA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E48B"/>
  <w15:chartTrackingRefBased/>
  <w15:docId w15:val="{F1D536E8-4450-4140-96B2-0530B68E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A30B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A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30B2"/>
    <w:rPr>
      <w:b/>
      <w:bCs/>
    </w:rPr>
  </w:style>
  <w:style w:type="character" w:styleId="Enfasicorsivo">
    <w:name w:val="Emphasis"/>
    <w:basedOn w:val="Carpredefinitoparagrafo"/>
    <w:uiPriority w:val="20"/>
    <w:qFormat/>
    <w:rsid w:val="00DA3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jpeg"/><Relationship Id="rId21" Type="http://schemas.openxmlformats.org/officeDocument/2006/relationships/hyperlink" Target="https://mailchi.mp/d92f9e3b55e1/cepi-newsletter-july-2021?e=00eb4f9b18" TargetMode="External"/><Relationship Id="rId42" Type="http://schemas.openxmlformats.org/officeDocument/2006/relationships/image" Target="media/image10.jpeg"/><Relationship Id="rId47" Type="http://schemas.openxmlformats.org/officeDocument/2006/relationships/hyperlink" Target="https://www.sabine-verheyen.de/wp-content/uploads/2021/07/Joint-Statement-on-the-importance-for-territorial-licensing.pdf" TargetMode="External"/><Relationship Id="rId63" Type="http://schemas.openxmlformats.org/officeDocument/2006/relationships/hyperlink" Target="https://2b6ai.r.ag.d.sendibm3.com/mk/cl/f/webCmSf6KdO0_2MKPI88zBDuYFsGdINjWXnxsjoe4hvtQFm7zZQ6NKKF9HCn_lBZ2SNG0fmQ6eyVP6aAHSt6AY_3s1GHZuq0wKcyzp1cHCEMhkwDmsM2Rxoz5IfKtFjlpNRkH9rHUYBbrhqiBnd3vGwbI5pG8jZmR93Iti94vP-vsBoffcwM" TargetMode="External"/><Relationship Id="rId68" Type="http://schemas.openxmlformats.org/officeDocument/2006/relationships/hyperlink" Target="https://www.nowehoryzonty.pl/artykul.do?lang=en&amp;id=267" TargetMode="External"/><Relationship Id="rId16" Type="http://schemas.openxmlformats.org/officeDocument/2006/relationships/hyperlink" Target="https://mailchi.mp/d92f9e3b55e1/cepi-newsletter-july-2021?e=00eb4f9b18" TargetMode="External"/><Relationship Id="rId11" Type="http://schemas.openxmlformats.org/officeDocument/2006/relationships/hyperlink" Target="https://mailchi.mp/d92f9e3b55e1/cepi-newsletter-july-2021?e=00eb4f9b18" TargetMode="External"/><Relationship Id="rId32" Type="http://schemas.openxmlformats.org/officeDocument/2006/relationships/image" Target="media/image9.jpeg"/><Relationship Id="rId37" Type="http://schemas.openxmlformats.org/officeDocument/2006/relationships/hyperlink" Target="https://www.europarl.europa.eu/doceo/document/IMCO-AM-695160_EN.pdf" TargetMode="External"/><Relationship Id="rId53" Type="http://schemas.openxmlformats.org/officeDocument/2006/relationships/hyperlink" Target="https://www.theguardian.com/media/2021/jul/18/netflix-to-court-older-viewers-as-flow-of-young-fans-slows-down" TargetMode="External"/><Relationship Id="rId58" Type="http://schemas.openxmlformats.org/officeDocument/2006/relationships/image" Target="media/image20.jpeg"/><Relationship Id="rId74" Type="http://schemas.openxmlformats.org/officeDocument/2006/relationships/hyperlink" Target="https://www.labiennale.org/en/cinema/2021" TargetMode="External"/><Relationship Id="rId79" Type="http://schemas.openxmlformats.org/officeDocument/2006/relationships/hyperlink" Target="https://www.nytimes.com/2021/07/15/movies/streaming-theater-hollywood.html" TargetMode="External"/><Relationship Id="rId5" Type="http://schemas.openxmlformats.org/officeDocument/2006/relationships/hyperlink" Target="https://www.cepi-producers.eu/" TargetMode="External"/><Relationship Id="rId61" Type="http://schemas.openxmlformats.org/officeDocument/2006/relationships/hyperlink" Target="https://2b6ai.r.ag.d.sendibm3.com/mk/cl/f/AoyPNxqyCGSeJdeDnob2ZqBRYVoJPYNq29xWKxi6QOREkPGCHanrUdNTs6vtNXFslgNRqKZM6Rh9B8WZio76Cewz7wgzYkWgBtvJzA3ngecm1J1Q1JKcifJsIUois7lRLOcS5fP6_J7gOvoau6in9ZXe1Lo9eb8j2JEbVVxlEQUdUtVN9hf0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ailchi.mp/d92f9e3b55e1/cepi-newsletter-july-2021?e=00eb4f9b18" TargetMode="External"/><Relationship Id="rId14" Type="http://schemas.openxmlformats.org/officeDocument/2006/relationships/hyperlink" Target="https://mailchi.mp/d92f9e3b55e1/cepi-newsletter-july-2021?e=00eb4f9b18" TargetMode="External"/><Relationship Id="rId22" Type="http://schemas.openxmlformats.org/officeDocument/2006/relationships/hyperlink" Target="https://mailchi.mp/d92f9e3b55e1/cepi-newsletter-july-2021?e=00eb4f9b18" TargetMode="External"/><Relationship Id="rId27" Type="http://schemas.openxmlformats.org/officeDocument/2006/relationships/hyperlink" Target="https://www.pwc.com/gx/en/industries/tmt/media/outlook.html" TargetMode="External"/><Relationship Id="rId30" Type="http://schemas.openxmlformats.org/officeDocument/2006/relationships/image" Target="media/image7.png"/><Relationship Id="rId35" Type="http://schemas.openxmlformats.org/officeDocument/2006/relationships/hyperlink" Target="https://www.europarl.europa.eu/doceo/document/IMCO-AM-695158_EN.pdf" TargetMode="External"/><Relationship Id="rId43" Type="http://schemas.openxmlformats.org/officeDocument/2006/relationships/image" Target="media/image11.jpeg"/><Relationship Id="rId48" Type="http://schemas.openxmlformats.org/officeDocument/2006/relationships/hyperlink" Target="https://www.netopia.eu/consumer-interest-in-the-digital-single-market/" TargetMode="External"/><Relationship Id="rId56" Type="http://schemas.openxmlformats.org/officeDocument/2006/relationships/image" Target="media/image18.jpeg"/><Relationship Id="rId64" Type="http://schemas.openxmlformats.org/officeDocument/2006/relationships/hyperlink" Target="https://tiff.ro/en" TargetMode="External"/><Relationship Id="rId69" Type="http://schemas.openxmlformats.org/officeDocument/2006/relationships/hyperlink" Target="https://www.sff.ba/en" TargetMode="External"/><Relationship Id="rId77" Type="http://schemas.openxmlformats.org/officeDocument/2006/relationships/hyperlink" Target="https://www.screendaily.com/features/future-leaders-2021-sales-and-acquisitions-executives-to-watch/5161128.article" TargetMode="External"/><Relationship Id="rId8" Type="http://schemas.openxmlformats.org/officeDocument/2006/relationships/hyperlink" Target="https://curia.europa.eu/jcms/jcms/p1_3575332" TargetMode="External"/><Relationship Id="rId51" Type="http://schemas.openxmlformats.org/officeDocument/2006/relationships/hyperlink" Target="https://www.rapidtvnews.com/2021070160761/netflix-becomes-largest-commissioner-of-new-scripted-european-content.html" TargetMode="External"/><Relationship Id="rId72" Type="http://schemas.openxmlformats.org/officeDocument/2006/relationships/hyperlink" Target="https://indielisboa.com/" TargetMode="External"/><Relationship Id="rId80" Type="http://schemas.openxmlformats.org/officeDocument/2006/relationships/hyperlink" Target="https://www.cineuropa.org/en/newsdetail/4079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ilchi.mp/d92f9e3b55e1/cepi-newsletter-july-2021?e=00eb4f9b18" TargetMode="External"/><Relationship Id="rId17" Type="http://schemas.openxmlformats.org/officeDocument/2006/relationships/hyperlink" Target="https://mailchi.mp/d92f9e3b55e1/cepi-newsletter-july-2021?e=00eb4f9b18" TargetMode="External"/><Relationship Id="rId25" Type="http://schemas.openxmlformats.org/officeDocument/2006/relationships/hyperlink" Target="https://www.obs.coe.int/en/web/observatoire/home/-/asset_publisher/wy5m8bRgOygg/content/boosting-sustainable-film-through-international-collaboration?inheritRedirect=false&amp;redirect=https%3A%2F%2Fwww.obs.coe.int%2Fen%2Fweb%2Fobservatoire%2Fhome%3Fp_p_id%3D101_INSTANCE_wy5m8bRgOygg%26p_p_lifecycle%3D0%26p_p_state%3Dnormal%26p_p_mode%3Dview%26p_p_col_id%3Dcolumn-1%26p_p_col_count%3D4" TargetMode="External"/><Relationship Id="rId33" Type="http://schemas.openxmlformats.org/officeDocument/2006/relationships/hyperlink" Target="https://www.europarl.europa.eu/doceo/document/IMCO-AM-695150_EN.pdf" TargetMode="External"/><Relationship Id="rId38" Type="http://schemas.openxmlformats.org/officeDocument/2006/relationships/hyperlink" Target="https://www.europarl.europa.eu/doceo/document/IMCO-AM-695162_EN.pdf" TargetMode="External"/><Relationship Id="rId46" Type="http://schemas.openxmlformats.org/officeDocument/2006/relationships/image" Target="media/image13.jpeg"/><Relationship Id="rId59" Type="http://schemas.openxmlformats.org/officeDocument/2006/relationships/hyperlink" Target="https://2b6ai.r.ag.d.sendibm3.com/mk/cl/f/_kr-fCbXhHiVElZspW2a2fw7fABwc_A3-UoQB3he-V4uj99nfTj7GvYeFOJWLQLirfxUnC8UdsQsQNq7__7T2FBRFrEkQ1kW2rKGGn4wx-7hBCZaan8Aa_BMyiBgPIXOrq-decNJy5y51Rghv6K415x2gkNMBhhR59VfBua0D0Q7IVuUtSJ-" TargetMode="External"/><Relationship Id="rId67" Type="http://schemas.openxmlformats.org/officeDocument/2006/relationships/hyperlink" Target="https://fantasiafestival.com/fr" TargetMode="External"/><Relationship Id="rId20" Type="http://schemas.openxmlformats.org/officeDocument/2006/relationships/hyperlink" Target="https://mailchi.mp/d92f9e3b55e1/cepi-newsletter-july-2021?e=00eb4f9b18" TargetMode="External"/><Relationship Id="rId41" Type="http://schemas.openxmlformats.org/officeDocument/2006/relationships/hyperlink" Target="https://www.europarl.europa.eu/doceo/document/IMCO-AM-695164_EN.pdf" TargetMode="External"/><Relationship Id="rId54" Type="http://schemas.openxmlformats.org/officeDocument/2006/relationships/image" Target="media/image16.jpeg"/><Relationship Id="rId62" Type="http://schemas.openxmlformats.org/officeDocument/2006/relationships/hyperlink" Target="https://2b6ai.r.ag.d.sendibm3.com/mk/cl/f/fkUpyLBev4lUHTpMvrIcDCBX4HWDdQwyRG4RqOps1_5PRjGqB5I1y0FnjqxDht8Tu85SOQlfDL0lm_XJdmJDR9e2XC_hfn0AnlUL5hrlDjeLVl1f3xJkBoffsEg4UCslG_27OduWEfhwsi7O8EnQ9BOxwFALik-snT7gqOz8KiBuHFthChfG" TargetMode="External"/><Relationship Id="rId70" Type="http://schemas.openxmlformats.org/officeDocument/2006/relationships/hyperlink" Target="https://www.edfilmfest.org.uk/edinburgh-international-film-festival" TargetMode="External"/><Relationship Id="rId75" Type="http://schemas.openxmlformats.org/officeDocument/2006/relationships/hyperlink" Target="https://hiff.fi/en/festival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ailchi.mp/d92f9e3b55e1/cepi-newsletter-july-2021?e=00eb4f9b18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5.jpeg"/><Relationship Id="rId36" Type="http://schemas.openxmlformats.org/officeDocument/2006/relationships/hyperlink" Target="https://www.europarl.europa.eu/doceo/document/IMCO-AM-695159_EN.pdf" TargetMode="External"/><Relationship Id="rId49" Type="http://schemas.openxmlformats.org/officeDocument/2006/relationships/image" Target="media/image14.jpeg"/><Relationship Id="rId57" Type="http://schemas.openxmlformats.org/officeDocument/2006/relationships/image" Target="media/image19.jpeg"/><Relationship Id="rId10" Type="http://schemas.openxmlformats.org/officeDocument/2006/relationships/hyperlink" Target="https://mailchi.mp/d92f9e3b55e1/cepi-newsletter-july-2021?e=00eb4f9b18" TargetMode="External"/><Relationship Id="rId31" Type="http://schemas.openxmlformats.org/officeDocument/2006/relationships/image" Target="media/image8.jpeg"/><Relationship Id="rId44" Type="http://schemas.openxmlformats.org/officeDocument/2006/relationships/hyperlink" Target="https://hadopi.e-marchespublics.com/pack/annonce_marche_public_22697_796554.html" TargetMode="External"/><Relationship Id="rId52" Type="http://schemas.openxmlformats.org/officeDocument/2006/relationships/hyperlink" Target="https://www.wirtualnemedia.pl/artykul/rok-z-podatkiem-od-vod-wplywy-powyzej-oczekiwan" TargetMode="External"/><Relationship Id="rId60" Type="http://schemas.openxmlformats.org/officeDocument/2006/relationships/hyperlink" Target="https://2b6ai.r.ag.d.sendibm3.com/mk/cl/f/EZf-Mgzs_nT1gBWAVefBmG9ksiH_ZMb3BEttxhEGhV6WU9HZGKx2xl-lEdDWqxCZihahtqny2tcBAu745Crrbx2OirK5OMu472mwn-48n38Z_Miezu_kt6Ag3p0kkjMZ7YJZSzFddXP__r0YzGeVX_zkMvnrHsmGRN547pHEKhqocVvtLFcw" TargetMode="External"/><Relationship Id="rId65" Type="http://schemas.openxmlformats.org/officeDocument/2006/relationships/hyperlink" Target="https://www.picturehouses.com/sundance" TargetMode="External"/><Relationship Id="rId73" Type="http://schemas.openxmlformats.org/officeDocument/2006/relationships/hyperlink" Target="https://seriesmania.com/en/" TargetMode="External"/><Relationship Id="rId78" Type="http://schemas.openxmlformats.org/officeDocument/2006/relationships/hyperlink" Target="https://www.cineuropa.org/en/newsdetail/406867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lchi.mp/d92f9e3b55e1/cepi-newsletter-july-2021?e=00eb4f9b18" TargetMode="External"/><Relationship Id="rId13" Type="http://schemas.openxmlformats.org/officeDocument/2006/relationships/hyperlink" Target="https://mailchi.mp/d92f9e3b55e1/cepi-newsletter-july-2021?e=00eb4f9b18" TargetMode="External"/><Relationship Id="rId18" Type="http://schemas.openxmlformats.org/officeDocument/2006/relationships/hyperlink" Target="https://mailchi.mp/d92f9e3b55e1/cepi-newsletter-july-2021?e=00eb4f9b18" TargetMode="External"/><Relationship Id="rId39" Type="http://schemas.openxmlformats.org/officeDocument/2006/relationships/hyperlink" Target="https://www.europarl.europa.eu/doceo/document/IMCO-AM-695161_EN.pdf" TargetMode="External"/><Relationship Id="rId34" Type="http://schemas.openxmlformats.org/officeDocument/2006/relationships/hyperlink" Target="https://www.europarl.europa.eu/doceo/document/IMCO-AM-695157_EN.pdf" TargetMode="External"/><Relationship Id="rId50" Type="http://schemas.openxmlformats.org/officeDocument/2006/relationships/image" Target="media/image15.jpeg"/><Relationship Id="rId55" Type="http://schemas.openxmlformats.org/officeDocument/2006/relationships/image" Target="media/image17.jpeg"/><Relationship Id="rId76" Type="http://schemas.openxmlformats.org/officeDocument/2006/relationships/hyperlink" Target="https://www.sansebastianfestival.com/in/" TargetMode="External"/><Relationship Id="rId7" Type="http://schemas.openxmlformats.org/officeDocument/2006/relationships/hyperlink" Target="https://www.sabine-verheyen.de/wp-content/uploads/2021/07/Joint-Statement-on-the-importance-for-territorial-licensing.pdf" TargetMode="External"/><Relationship Id="rId71" Type="http://schemas.openxmlformats.org/officeDocument/2006/relationships/hyperlink" Target="https://www.kviff.com/en/homepage" TargetMode="External"/><Relationship Id="rId2" Type="http://schemas.openxmlformats.org/officeDocument/2006/relationships/styles" Target="styles.xml"/><Relationship Id="rId29" Type="http://schemas.openxmlformats.org/officeDocument/2006/relationships/image" Target="media/image6.jpeg"/><Relationship Id="rId24" Type="http://schemas.openxmlformats.org/officeDocument/2006/relationships/image" Target="media/image3.jpeg"/><Relationship Id="rId40" Type="http://schemas.openxmlformats.org/officeDocument/2006/relationships/hyperlink" Target="https://www.europarl.europa.eu/doceo/document/IMCO-AM-695163_EN.pdf" TargetMode="External"/><Relationship Id="rId45" Type="http://schemas.openxmlformats.org/officeDocument/2006/relationships/image" Target="media/image12.jpeg"/><Relationship Id="rId66" Type="http://schemas.openxmlformats.org/officeDocument/2006/relationships/hyperlink" Target="https://www.locarnofestival.ch/LFF/home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9071</Words>
  <Characters>51706</Characters>
  <Application>Microsoft Office Word</Application>
  <DocSecurity>0</DocSecurity>
  <Lines>430</Lines>
  <Paragraphs>121</Paragraphs>
  <ScaleCrop>false</ScaleCrop>
  <Company/>
  <LinksUpToDate>false</LinksUpToDate>
  <CharactersWithSpaces>60656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Rossi</dc:creator>
  <cp:keywords/>
  <dc:description/>
  <cp:lastModifiedBy>Beatrice Rossi</cp:lastModifiedBy>
  <cp:revision>1</cp:revision>
  <dcterms:created xsi:type="dcterms:W3CDTF">2021-09-03T08:53:00Z</dcterms:created>
  <dcterms:modified xsi:type="dcterms:W3CDTF">2021-09-03T08:54:00Z</dcterms:modified>
</cp:coreProperties>
</file>