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638"/>
      </w:tblGrid>
      <w:tr w:rsidR="00BE7FF6" w:rsidRPr="00BE7FF6" w14:paraId="30C3EF64" w14:textId="77777777" w:rsidTr="00BE7FF6">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E7FF6" w:rsidRPr="00BE7FF6" w14:paraId="4D9817C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E7FF6" w:rsidRPr="00BE7FF6" w14:paraId="09600F2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E7FF6" w:rsidRPr="00BE7FF6" w14:paraId="4AC5E64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E7FF6" w:rsidRPr="00BE7FF6" w14:paraId="5A624D6A" w14:textId="77777777">
                                <w:tc>
                                  <w:tcPr>
                                    <w:tcW w:w="0" w:type="auto"/>
                                    <w:hideMark/>
                                  </w:tcPr>
                                  <w:p w14:paraId="30EB9FE8"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r w:rsidRPr="00BE7FF6">
                                      <w:rPr>
                                        <w:rFonts w:ascii="Times New Roman" w:eastAsia="Times New Roman" w:hAnsi="Times New Roman" w:cs="Times New Roman"/>
                                        <w:noProof/>
                                        <w:color w:val="0000FF"/>
                                        <w:sz w:val="24"/>
                                        <w:szCs w:val="24"/>
                                        <w:lang w:eastAsia="it-IT"/>
                                      </w:rPr>
                                      <w:drawing>
                                        <wp:inline distT="0" distB="0" distL="0" distR="0" wp14:anchorId="2C1BE626" wp14:editId="45591992">
                                          <wp:extent cx="2514600" cy="1363980"/>
                                          <wp:effectExtent l="0" t="0" r="0" b="0"/>
                                          <wp:docPr id="1" name="Immagine 1">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3639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E7FF6" w:rsidRPr="00BE7FF6" w14:paraId="131FF3E2" w14:textId="77777777">
                                <w:tc>
                                  <w:tcPr>
                                    <w:tcW w:w="0" w:type="auto"/>
                                    <w:hideMark/>
                                  </w:tcPr>
                                  <w:p w14:paraId="0840B5F3" w14:textId="77777777" w:rsidR="00BE7FF6" w:rsidRPr="00BE7FF6" w:rsidRDefault="00BE7FF6" w:rsidP="00BE7FF6">
                                    <w:pPr>
                                      <w:spacing w:after="0" w:line="293" w:lineRule="atLeast"/>
                                      <w:jc w:val="right"/>
                                      <w:rPr>
                                        <w:rFonts w:ascii="Helvetica" w:eastAsia="Times New Roman" w:hAnsi="Helvetica" w:cs="Helvetica"/>
                                        <w:color w:val="202020"/>
                                        <w:sz w:val="20"/>
                                        <w:szCs w:val="20"/>
                                        <w:lang w:eastAsia="it-IT"/>
                                      </w:rPr>
                                    </w:pPr>
                                    <w:r w:rsidRPr="00BE7FF6">
                                      <w:rPr>
                                        <w:rFonts w:ascii="Helvetica" w:eastAsia="Times New Roman" w:hAnsi="Helvetica" w:cs="Helvetica"/>
                                        <w:color w:val="202020"/>
                                        <w:sz w:val="20"/>
                                        <w:szCs w:val="20"/>
                                        <w:lang w:eastAsia="it-IT"/>
                                      </w:rPr>
                                      <w:br/>
                                    </w:r>
                                    <w:r w:rsidRPr="00BE7FF6">
                                      <w:rPr>
                                        <w:rFonts w:ascii="Helvetica" w:eastAsia="Times New Roman" w:hAnsi="Helvetica" w:cs="Helvetica"/>
                                        <w:color w:val="202020"/>
                                        <w:sz w:val="20"/>
                                        <w:szCs w:val="20"/>
                                        <w:lang w:eastAsia="it-IT"/>
                                      </w:rPr>
                                      <w:br/>
                                      <w:t>CEPI Newsletter</w:t>
                                    </w:r>
                                  </w:p>
                                  <w:p w14:paraId="3590E7F8" w14:textId="77777777" w:rsidR="00BE7FF6" w:rsidRPr="00BE7FF6" w:rsidRDefault="00BE7FF6" w:rsidP="00BE7FF6">
                                    <w:pPr>
                                      <w:spacing w:after="0" w:line="293" w:lineRule="atLeast"/>
                                      <w:jc w:val="right"/>
                                      <w:rPr>
                                        <w:rFonts w:ascii="Helvetica" w:eastAsia="Times New Roman" w:hAnsi="Helvetica" w:cs="Helvetica"/>
                                        <w:color w:val="202020"/>
                                        <w:sz w:val="20"/>
                                        <w:szCs w:val="20"/>
                                        <w:lang w:eastAsia="it-IT"/>
                                      </w:rPr>
                                    </w:pPr>
                                    <w:r w:rsidRPr="00BE7FF6">
                                      <w:rPr>
                                        <w:rFonts w:ascii="Helvetica" w:eastAsia="Times New Roman" w:hAnsi="Helvetica" w:cs="Helvetica"/>
                                        <w:color w:val="202020"/>
                                        <w:sz w:val="20"/>
                                        <w:szCs w:val="20"/>
                                        <w:lang w:eastAsia="it-IT"/>
                                      </w:rPr>
                                      <w:t>December 2021 - January 2022</w:t>
                                    </w:r>
                                  </w:p>
                                </w:tc>
                              </w:tr>
                            </w:tbl>
                            <w:p w14:paraId="4BDBCFF6"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5214BA7"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532EC17"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ED51CEF" w14:textId="77777777" w:rsidR="00BE7FF6" w:rsidRPr="00BE7FF6" w:rsidRDefault="00BE7FF6" w:rsidP="00BE7FF6">
            <w:pPr>
              <w:spacing w:after="0" w:line="240" w:lineRule="auto"/>
              <w:jc w:val="center"/>
              <w:rPr>
                <w:rFonts w:ascii="Times New Roman" w:eastAsia="Times New Roman" w:hAnsi="Times New Roman" w:cs="Times New Roman"/>
                <w:color w:val="000000"/>
                <w:sz w:val="27"/>
                <w:szCs w:val="27"/>
                <w:lang w:eastAsia="it-IT"/>
              </w:rPr>
            </w:pPr>
          </w:p>
        </w:tc>
      </w:tr>
      <w:tr w:rsidR="00BE7FF6" w:rsidRPr="00BE7FF6" w14:paraId="3504D336" w14:textId="77777777" w:rsidTr="00BE7FF6">
        <w:tc>
          <w:tcPr>
            <w:tcW w:w="0" w:type="auto"/>
            <w:tcBorders>
              <w:top w:val="nil"/>
              <w:bottom w:val="nil"/>
            </w:tcBorders>
            <w:shd w:val="clear" w:color="auto" w:fill="FAFAFA"/>
            <w:hideMark/>
          </w:tcPr>
          <w:tbl>
            <w:tblPr>
              <w:tblW w:w="9000" w:type="dxa"/>
              <w:jc w:val="center"/>
              <w:tblCellMar>
                <w:left w:w="0" w:type="dxa"/>
                <w:right w:w="0" w:type="dxa"/>
              </w:tblCellMar>
              <w:tblLook w:val="04A0" w:firstRow="1" w:lastRow="0" w:firstColumn="1" w:lastColumn="0" w:noHBand="0" w:noVBand="1"/>
            </w:tblPr>
            <w:tblGrid>
              <w:gridCol w:w="9000"/>
            </w:tblGrid>
            <w:tr w:rsidR="00BE7FF6" w:rsidRPr="00BE7FF6" w14:paraId="1DD5913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E7FF6" w:rsidRPr="00BE7FF6" w14:paraId="612A95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56AE1A45" w14:textId="77777777">
                          <w:tc>
                            <w:tcPr>
                              <w:tcW w:w="0" w:type="auto"/>
                              <w:tcMar>
                                <w:top w:w="0" w:type="dxa"/>
                                <w:left w:w="270" w:type="dxa"/>
                                <w:bottom w:w="135" w:type="dxa"/>
                                <w:right w:w="270" w:type="dxa"/>
                              </w:tcMar>
                              <w:hideMark/>
                            </w:tcPr>
                            <w:p w14:paraId="67C39EC0"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21"/>
                                  <w:szCs w:val="21"/>
                                  <w:lang w:eastAsia="it-IT"/>
                                </w:rPr>
                                <w:t>Dear CEPI members,</w:t>
                              </w:r>
                              <w:r w:rsidRPr="00BE7FF6">
                                <w:rPr>
                                  <w:rFonts w:ascii="Helvetica" w:eastAsia="Times New Roman" w:hAnsi="Helvetica" w:cs="Helvetica"/>
                                  <w:color w:val="202020"/>
                                  <w:sz w:val="21"/>
                                  <w:szCs w:val="21"/>
                                  <w:lang w:eastAsia="it-IT"/>
                                </w:rPr>
                                <w:br/>
                              </w:r>
                              <w:r w:rsidRPr="00BE7FF6">
                                <w:rPr>
                                  <w:rFonts w:ascii="Helvetica" w:eastAsia="Times New Roman" w:hAnsi="Helvetica" w:cs="Helvetica"/>
                                  <w:color w:val="202020"/>
                                  <w:sz w:val="21"/>
                                  <w:szCs w:val="21"/>
                                  <w:lang w:eastAsia="it-IT"/>
                                </w:rPr>
                                <w:br/>
                                <w:t>Happy 2022! We hope the new year will bring good news and positive spirit.</w:t>
                              </w:r>
                              <w:r w:rsidRPr="00BE7FF6">
                                <w:rPr>
                                  <w:rFonts w:ascii="Helvetica" w:eastAsia="Times New Roman" w:hAnsi="Helvetica" w:cs="Helvetica"/>
                                  <w:color w:val="202020"/>
                                  <w:sz w:val="21"/>
                                  <w:szCs w:val="21"/>
                                  <w:lang w:eastAsia="it-IT"/>
                                </w:rPr>
                                <w:br/>
                                <w:t>As expected, CEPI is starting the new year with a busy agenda following the priorities confirmed at the General Assembly in Madrid.</w:t>
                              </w:r>
                              <w:r w:rsidRPr="00BE7FF6">
                                <w:rPr>
                                  <w:rFonts w:ascii="Helvetica" w:eastAsia="Times New Roman" w:hAnsi="Helvetica" w:cs="Helvetica"/>
                                  <w:color w:val="202020"/>
                                  <w:sz w:val="21"/>
                                  <w:szCs w:val="21"/>
                                  <w:lang w:eastAsia="it-IT"/>
                                </w:rPr>
                                <w:br/>
                              </w:r>
                              <w:r w:rsidRPr="00BE7FF6">
                                <w:rPr>
                                  <w:rFonts w:ascii="Helvetica" w:eastAsia="Times New Roman" w:hAnsi="Helvetica" w:cs="Helvetica"/>
                                  <w:color w:val="202020"/>
                                  <w:sz w:val="21"/>
                                  <w:szCs w:val="21"/>
                                  <w:lang w:eastAsia="it-IT"/>
                                </w:rPr>
                                <w:br/>
                                <w:t>First and foremost, CEPI will continue its work towards fostering a strong European audiovisual sector, where European producers benefit from the right legal framework, open to opportunities and innovation, and promoting European cultural diversity. Just before the Christmas break, CEPI finally received an answer from the European Commission on our letter of the 17th of December, regarding the definition of European work and Brexit. In its response, the Commission reaffirmed its plan to publish a Media Outlook in 2022 which will explore media trends from technology advances to emerging production and consumption patterns – and analyse their potential impact on the European media market and business models. The report will provide relevant data notably on the presence, circulation and promotion of works by the EU Member States, shed light on the impact of Brexit in the EU audiovisual ecosystem and analyse the impact of global VOD platforms on the EU independent production and creative talent. Before the long term review of the AVMS Directive, the Media outlook is an opportunity to shape the needs and objectives of the European Commission for European independent producers.</w:t>
                              </w:r>
                              <w:r w:rsidRPr="00BE7FF6">
                                <w:rPr>
                                  <w:rFonts w:ascii="Helvetica" w:eastAsia="Times New Roman" w:hAnsi="Helvetica" w:cs="Helvetica"/>
                                  <w:color w:val="202020"/>
                                  <w:sz w:val="21"/>
                                  <w:szCs w:val="21"/>
                                  <w:lang w:eastAsia="it-IT"/>
                                </w:rPr>
                                <w:br/>
                              </w:r>
                              <w:r w:rsidRPr="00BE7FF6">
                                <w:rPr>
                                  <w:rFonts w:ascii="Helvetica" w:eastAsia="Times New Roman" w:hAnsi="Helvetica" w:cs="Helvetica"/>
                                  <w:color w:val="202020"/>
                                  <w:sz w:val="21"/>
                                  <w:szCs w:val="21"/>
                                  <w:lang w:eastAsia="it-IT"/>
                                </w:rPr>
                                <w:br/>
                                <w:t>On policy, CEPI continues its focus on the Digital service Act file as well as the European Commission Stakeholder dialogue aimed at finding possible industry led practises to increase availability and circulation of content in Europe.</w:t>
                              </w:r>
                              <w:r w:rsidRPr="00BE7FF6">
                                <w:rPr>
                                  <w:rFonts w:ascii="Helvetica" w:eastAsia="Times New Roman" w:hAnsi="Helvetica" w:cs="Helvetica"/>
                                  <w:color w:val="202020"/>
                                  <w:sz w:val="21"/>
                                  <w:szCs w:val="21"/>
                                  <w:lang w:eastAsia="it-IT"/>
                                </w:rPr>
                                <w:br/>
                              </w:r>
                              <w:r w:rsidRPr="00BE7FF6">
                                <w:rPr>
                                  <w:rFonts w:ascii="Helvetica" w:eastAsia="Times New Roman" w:hAnsi="Helvetica" w:cs="Helvetica"/>
                                  <w:color w:val="202020"/>
                                  <w:sz w:val="21"/>
                                  <w:szCs w:val="21"/>
                                  <w:lang w:eastAsia="it-IT"/>
                                </w:rPr>
                                <w:br/>
                                <w:t xml:space="preserve">After the adoption of the DSA report at committee level, the European Parliament will vote in plenary the Digital Service Act in January. This new Regulation is meant to update existing rules regarding illegal content online, its removal and the liability of platforms where such content appears. The DSA will complement content removal rules under article 17 of the copyright directive. As detailed in this newsletter, the adopted report by the leading committee (IMCO) still includes some concerns for our industry. The plenary vote meant to </w:t>
                              </w:r>
                              <w:r w:rsidRPr="00BE7FF6">
                                <w:rPr>
                                  <w:rFonts w:ascii="Helvetica" w:eastAsia="Times New Roman" w:hAnsi="Helvetica" w:cs="Helvetica"/>
                                  <w:color w:val="202020"/>
                                  <w:sz w:val="21"/>
                                  <w:szCs w:val="21"/>
                                  <w:lang w:eastAsia="it-IT"/>
                                </w:rPr>
                                <w:lastRenderedPageBreak/>
                                <w:t>take place in January gives CEPI and the different industry coalitions the opportunities to continue to push our arguments towards MEPs, and improve the text for the audiovisual sector.</w:t>
                              </w:r>
                              <w:r w:rsidRPr="00BE7FF6">
                                <w:rPr>
                                  <w:rFonts w:ascii="Helvetica" w:eastAsia="Times New Roman" w:hAnsi="Helvetica" w:cs="Helvetica"/>
                                  <w:color w:val="202020"/>
                                  <w:sz w:val="21"/>
                                  <w:szCs w:val="21"/>
                                  <w:lang w:eastAsia="it-IT"/>
                                </w:rPr>
                                <w:br/>
                              </w:r>
                              <w:r w:rsidRPr="00BE7FF6">
                                <w:rPr>
                                  <w:rFonts w:ascii="Helvetica" w:eastAsia="Times New Roman" w:hAnsi="Helvetica" w:cs="Helvetica"/>
                                  <w:color w:val="202020"/>
                                  <w:sz w:val="21"/>
                                  <w:szCs w:val="21"/>
                                  <w:lang w:eastAsia="it-IT"/>
                                </w:rPr>
                                <w:br/>
                                <w:t>The European Commission is slowing down its work on the stakeholder dialogue on availability and access to AV content, as the next meeting initially scheduled in January has now been postponed. The last stakeholder meeting, held on 10 December, saw the Commission suggesting the possible use of the SatCab2 Directive(EU) 2019/789) to make broadcaster programmes covered by the country-of-origin principle available online across borders. This provision, which enables broadcasters to make available their fully owned content across borders on their catch-up services, is already implemented by broadcasters on a case by case basis. The industry remained firm on its position to call for clear data to support this dialogue, and requested the Commission to invite the European Audiovisual Observatory to be present at the next meeting.  CEPI continues its consultation of all members, and collaboration with other industry representatives to define and push forward the independent producer’s position.</w:t>
                              </w:r>
                              <w:r w:rsidRPr="00BE7FF6">
                                <w:rPr>
                                  <w:rFonts w:ascii="Helvetica" w:eastAsia="Times New Roman" w:hAnsi="Helvetica" w:cs="Helvetica"/>
                                  <w:color w:val="202020"/>
                                  <w:sz w:val="21"/>
                                  <w:szCs w:val="21"/>
                                  <w:lang w:eastAsia="it-IT"/>
                                </w:rPr>
                                <w:br/>
                              </w:r>
                              <w:r w:rsidRPr="00BE7FF6">
                                <w:rPr>
                                  <w:rFonts w:ascii="Helvetica" w:eastAsia="Times New Roman" w:hAnsi="Helvetica" w:cs="Helvetica"/>
                                  <w:color w:val="202020"/>
                                  <w:sz w:val="21"/>
                                  <w:szCs w:val="21"/>
                                  <w:lang w:eastAsia="it-IT"/>
                                </w:rPr>
                                <w:br/>
                                <w:t>In order to increase the organisation’s visibility, CEPI is now working with the Series Mania festival to prepare a panel. CEPI also had the opportunity to speak at an event organized by SPI Ireland in December on the impact of Brexit for producers, and has been invited to speak at Prime Time 2022, the conference of our Canadian colleagues. To strengthen CEPI representativity, the board has set up the objective for CEPI to develop a directory of producers represented by CEPI and its members. We will be contacting you very soon on this.</w:t>
                              </w:r>
                              <w:r w:rsidRPr="00BE7FF6">
                                <w:rPr>
                                  <w:rFonts w:ascii="Helvetica" w:eastAsia="Times New Roman" w:hAnsi="Helvetica" w:cs="Helvetica"/>
                                  <w:color w:val="202020"/>
                                  <w:sz w:val="21"/>
                                  <w:szCs w:val="21"/>
                                  <w:lang w:eastAsia="it-IT"/>
                                </w:rPr>
                                <w:br/>
                              </w:r>
                              <w:r w:rsidRPr="00BE7FF6">
                                <w:rPr>
                                  <w:rFonts w:ascii="Helvetica" w:eastAsia="Times New Roman" w:hAnsi="Helvetica" w:cs="Helvetica"/>
                                  <w:color w:val="202020"/>
                                  <w:sz w:val="21"/>
                                  <w:szCs w:val="21"/>
                                  <w:lang w:eastAsia="it-IT"/>
                                </w:rPr>
                                <w:br/>
                                <w:t>We are looking forward to this new year, full of challenges and projects and would like to take this opportunity to thank all of you for your continued support.</w:t>
                              </w:r>
                              <w:r w:rsidRPr="00BE7FF6">
                                <w:rPr>
                                  <w:rFonts w:ascii="Helvetica" w:eastAsia="Times New Roman" w:hAnsi="Helvetica" w:cs="Helvetica"/>
                                  <w:color w:val="202020"/>
                                  <w:sz w:val="21"/>
                                  <w:szCs w:val="21"/>
                                  <w:lang w:eastAsia="it-IT"/>
                                </w:rPr>
                                <w:br/>
                              </w:r>
                              <w:r w:rsidRPr="00BE7FF6">
                                <w:rPr>
                                  <w:rFonts w:ascii="Helvetica" w:eastAsia="Times New Roman" w:hAnsi="Helvetica" w:cs="Helvetica"/>
                                  <w:color w:val="202020"/>
                                  <w:sz w:val="21"/>
                                  <w:szCs w:val="21"/>
                                  <w:lang w:eastAsia="it-IT"/>
                                </w:rPr>
                                <w:br/>
                                <w:t>Enjoy the reading!</w:t>
                              </w:r>
                            </w:p>
                          </w:tc>
                        </w:tr>
                      </w:tbl>
                      <w:p w14:paraId="70329FD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9ACC797"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58ABF747"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BE7FF6" w:rsidRPr="00BE7FF6" w14:paraId="08BA91DF" w14:textId="77777777">
                          <w:tc>
                            <w:tcPr>
                              <w:tcW w:w="0" w:type="auto"/>
                              <w:tcMar>
                                <w:top w:w="0" w:type="dxa"/>
                                <w:left w:w="270" w:type="dxa"/>
                                <w:bottom w:w="135" w:type="dxa"/>
                                <w:right w:w="270" w:type="dxa"/>
                              </w:tcMar>
                              <w:hideMark/>
                            </w:tcPr>
                            <w:p w14:paraId="3471B1B1" w14:textId="77777777" w:rsidR="00BE7FF6" w:rsidRPr="00BE7FF6" w:rsidRDefault="00BE7FF6" w:rsidP="00BE7FF6">
                              <w:pPr>
                                <w:spacing w:after="0" w:line="360" w:lineRule="atLeast"/>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4"/>
                                  <w:szCs w:val="24"/>
                                  <w:lang w:eastAsia="it-IT"/>
                                </w:rPr>
                                <w:t>Sections in this newsletter:</w:t>
                              </w:r>
                              <w:r w:rsidRPr="00BE7FF6">
                                <w:rPr>
                                  <w:rFonts w:ascii="Helvetica" w:eastAsia="Times New Roman" w:hAnsi="Helvetica" w:cs="Helvetica"/>
                                  <w:color w:val="202020"/>
                                  <w:sz w:val="24"/>
                                  <w:szCs w:val="24"/>
                                  <w:lang w:eastAsia="it-IT"/>
                                </w:rPr>
                                <w:br/>
                              </w:r>
                              <w:r w:rsidRPr="00BE7FF6">
                                <w:rPr>
                                  <w:rFonts w:ascii="Helvetica" w:eastAsia="Times New Roman" w:hAnsi="Helvetica" w:cs="Helvetica"/>
                                  <w:color w:val="202020"/>
                                  <w:sz w:val="21"/>
                                  <w:szCs w:val="21"/>
                                  <w:lang w:eastAsia="it-IT"/>
                                </w:rPr>
                                <w:t>-</w:t>
                              </w:r>
                              <w:hyperlink r:id="rId7" w:anchor="Latest%20from%20the%20EU" w:tgtFrame="_blank" w:history="1">
                                <w:r w:rsidRPr="00BE7FF6">
                                  <w:rPr>
                                    <w:rFonts w:ascii="Helvetica" w:eastAsia="Times New Roman" w:hAnsi="Helvetica" w:cs="Helvetica"/>
                                    <w:color w:val="007C89"/>
                                    <w:sz w:val="21"/>
                                    <w:szCs w:val="21"/>
                                    <w:u w:val="single"/>
                                    <w:lang w:eastAsia="it-IT"/>
                                  </w:rPr>
                                  <w:t> Latest from the EU</w:t>
                                </w:r>
                              </w:hyperlink>
                              <w:r w:rsidRPr="00BE7FF6">
                                <w:rPr>
                                  <w:rFonts w:ascii="Helvetica" w:eastAsia="Times New Roman" w:hAnsi="Helvetica" w:cs="Helvetica"/>
                                  <w:color w:val="202020"/>
                                  <w:sz w:val="21"/>
                                  <w:szCs w:val="21"/>
                                  <w:lang w:eastAsia="it-IT"/>
                                </w:rPr>
                                <w:br/>
                                <w:t>- </w:t>
                              </w:r>
                              <w:hyperlink r:id="rId8" w:anchor="Covid%2019" w:tgtFrame="_blank" w:history="1">
                                <w:r w:rsidRPr="00BE7FF6">
                                  <w:rPr>
                                    <w:rFonts w:ascii="Helvetica" w:eastAsia="Times New Roman" w:hAnsi="Helvetica" w:cs="Helvetica"/>
                                    <w:color w:val="007C89"/>
                                    <w:sz w:val="21"/>
                                    <w:szCs w:val="21"/>
                                    <w:u w:val="single"/>
                                    <w:lang w:eastAsia="it-IT"/>
                                  </w:rPr>
                                  <w:t>COVID 19: Impact on the sector</w:t>
                                </w:r>
                              </w:hyperlink>
                              <w:r w:rsidRPr="00BE7FF6">
                                <w:rPr>
                                  <w:rFonts w:ascii="Helvetica" w:eastAsia="Times New Roman" w:hAnsi="Helvetica" w:cs="Helvetica"/>
                                  <w:color w:val="202020"/>
                                  <w:sz w:val="21"/>
                                  <w:szCs w:val="21"/>
                                  <w:lang w:eastAsia="it-IT"/>
                                </w:rPr>
                                <w:br/>
                                <w:t>- </w:t>
                              </w:r>
                              <w:hyperlink r:id="rId9" w:anchor="Latest%20on%20AV%20industry" w:tgtFrame="_blank" w:history="1">
                                <w:r w:rsidRPr="00BE7FF6">
                                  <w:rPr>
                                    <w:rFonts w:ascii="Helvetica" w:eastAsia="Times New Roman" w:hAnsi="Helvetica" w:cs="Helvetica"/>
                                    <w:color w:val="007C89"/>
                                    <w:sz w:val="21"/>
                                    <w:szCs w:val="21"/>
                                    <w:u w:val="single"/>
                                    <w:lang w:eastAsia="it-IT"/>
                                  </w:rPr>
                                  <w:t>Latest on the AV industry</w:t>
                                </w:r>
                              </w:hyperlink>
                              <w:r w:rsidRPr="00BE7FF6">
                                <w:rPr>
                                  <w:rFonts w:ascii="Helvetica" w:eastAsia="Times New Roman" w:hAnsi="Helvetica" w:cs="Helvetica"/>
                                  <w:color w:val="202020"/>
                                  <w:sz w:val="21"/>
                                  <w:szCs w:val="21"/>
                                  <w:lang w:eastAsia="it-IT"/>
                                </w:rPr>
                                <w:br/>
                                <w:t>- </w:t>
                              </w:r>
                              <w:hyperlink r:id="rId10" w:anchor="Copyright" w:tgtFrame="_blank" w:history="1">
                                <w:r w:rsidRPr="00BE7FF6">
                                  <w:rPr>
                                    <w:rFonts w:ascii="Helvetica" w:eastAsia="Times New Roman" w:hAnsi="Helvetica" w:cs="Helvetica"/>
                                    <w:color w:val="007C89"/>
                                    <w:sz w:val="21"/>
                                    <w:szCs w:val="21"/>
                                    <w:u w:val="single"/>
                                    <w:lang w:eastAsia="it-IT"/>
                                  </w:rPr>
                                  <w:t>Copyright</w:t>
                                </w:r>
                              </w:hyperlink>
                              <w:r w:rsidRPr="00BE7FF6">
                                <w:rPr>
                                  <w:rFonts w:ascii="Helvetica" w:eastAsia="Times New Roman" w:hAnsi="Helvetica" w:cs="Helvetica"/>
                                  <w:color w:val="202020"/>
                                  <w:sz w:val="21"/>
                                  <w:szCs w:val="21"/>
                                  <w:lang w:eastAsia="it-IT"/>
                                </w:rPr>
                                <w:br/>
                                <w:t>- </w:t>
                              </w:r>
                              <w:hyperlink r:id="rId11" w:anchor="DSA%20&amp;%20platform" w:tgtFrame="_blank" w:history="1">
                                <w:r w:rsidRPr="00BE7FF6">
                                  <w:rPr>
                                    <w:rFonts w:ascii="Helvetica" w:eastAsia="Times New Roman" w:hAnsi="Helvetica" w:cs="Helvetica"/>
                                    <w:color w:val="007C89"/>
                                    <w:sz w:val="21"/>
                                    <w:szCs w:val="21"/>
                                    <w:u w:val="single"/>
                                    <w:lang w:eastAsia="it-IT"/>
                                  </w:rPr>
                                  <w:t>Digital Services Act (DSA) &amp; Digital Platform Regulation</w:t>
                                </w:r>
                              </w:hyperlink>
                              <w:r w:rsidRPr="00BE7FF6">
                                <w:rPr>
                                  <w:rFonts w:ascii="Helvetica" w:eastAsia="Times New Roman" w:hAnsi="Helvetica" w:cs="Helvetica"/>
                                  <w:color w:val="202020"/>
                                  <w:sz w:val="21"/>
                                  <w:szCs w:val="21"/>
                                  <w:lang w:eastAsia="it-IT"/>
                                </w:rPr>
                                <w:br/>
                                <w:t>- </w:t>
                              </w:r>
                              <w:hyperlink r:id="rId12" w:anchor="Territoriality" w:tgtFrame="_blank" w:history="1">
                                <w:r w:rsidRPr="00BE7FF6">
                                  <w:rPr>
                                    <w:rFonts w:ascii="Helvetica" w:eastAsia="Times New Roman" w:hAnsi="Helvetica" w:cs="Helvetica"/>
                                    <w:color w:val="007C89"/>
                                    <w:sz w:val="21"/>
                                    <w:szCs w:val="21"/>
                                    <w:u w:val="single"/>
                                    <w:lang w:eastAsia="it-IT"/>
                                  </w:rPr>
                                  <w:t>Territoriality</w:t>
                                </w:r>
                              </w:hyperlink>
                            </w:p>
                          </w:tc>
                        </w:tr>
                      </w:tbl>
                      <w:p w14:paraId="787ABED2"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BE7FF6" w:rsidRPr="00BE7FF6" w14:paraId="0D40B393" w14:textId="77777777">
                          <w:tc>
                            <w:tcPr>
                              <w:tcW w:w="0" w:type="auto"/>
                              <w:tcMar>
                                <w:top w:w="0" w:type="dxa"/>
                                <w:left w:w="270" w:type="dxa"/>
                                <w:bottom w:w="135" w:type="dxa"/>
                                <w:right w:w="270" w:type="dxa"/>
                              </w:tcMar>
                              <w:hideMark/>
                            </w:tcPr>
                            <w:p w14:paraId="17F781F1" w14:textId="77777777" w:rsidR="00BE7FF6" w:rsidRPr="00BE7FF6" w:rsidRDefault="00BE7FF6" w:rsidP="00BE7FF6">
                              <w:pPr>
                                <w:spacing w:after="0" w:line="360" w:lineRule="atLeast"/>
                                <w:rPr>
                                  <w:rFonts w:ascii="Helvetica" w:eastAsia="Times New Roman" w:hAnsi="Helvetica" w:cs="Helvetica"/>
                                  <w:color w:val="202020"/>
                                  <w:sz w:val="24"/>
                                  <w:szCs w:val="24"/>
                                  <w:lang w:eastAsia="it-IT"/>
                                </w:rPr>
                              </w:pPr>
                              <w:hyperlink r:id="rId13" w:anchor="Audiovisual%20platform" w:tgtFrame="_blank" w:history="1">
                                <w:r w:rsidRPr="00BE7FF6">
                                  <w:rPr>
                                    <w:rFonts w:ascii="Helvetica" w:eastAsia="Times New Roman" w:hAnsi="Helvetica" w:cs="Helvetica"/>
                                    <w:color w:val="007C89"/>
                                    <w:sz w:val="21"/>
                                    <w:szCs w:val="21"/>
                                    <w:u w:val="single"/>
                                    <w:lang w:eastAsia="it-IT"/>
                                  </w:rPr>
                                  <w:t>- </w:t>
                                </w:r>
                              </w:hyperlink>
                              <w:hyperlink r:id="rId14" w:anchor="AVMSD" w:tgtFrame="_blank" w:history="1">
                                <w:r w:rsidRPr="00BE7FF6">
                                  <w:rPr>
                                    <w:rFonts w:ascii="Helvetica" w:eastAsia="Times New Roman" w:hAnsi="Helvetica" w:cs="Helvetica"/>
                                    <w:color w:val="007C89"/>
                                    <w:sz w:val="21"/>
                                    <w:szCs w:val="21"/>
                                    <w:u w:val="single"/>
                                    <w:lang w:eastAsia="it-IT"/>
                                  </w:rPr>
                                  <w:t>AVMSD</w:t>
                                </w:r>
                              </w:hyperlink>
                              <w:r w:rsidRPr="00BE7FF6">
                                <w:rPr>
                                  <w:rFonts w:ascii="Helvetica" w:eastAsia="Times New Roman" w:hAnsi="Helvetica" w:cs="Helvetica"/>
                                  <w:color w:val="202020"/>
                                  <w:sz w:val="21"/>
                                  <w:szCs w:val="21"/>
                                  <w:lang w:eastAsia="it-IT"/>
                                </w:rPr>
                                <w:br/>
                              </w:r>
                              <w:hyperlink r:id="rId15" w:anchor="Film%20&amp;%20TV" w:tgtFrame="_blank" w:history="1">
                                <w:r w:rsidRPr="00BE7FF6">
                                  <w:rPr>
                                    <w:rFonts w:ascii="Helvetica" w:eastAsia="Times New Roman" w:hAnsi="Helvetica" w:cs="Helvetica"/>
                                    <w:color w:val="007C89"/>
                                    <w:sz w:val="21"/>
                                    <w:szCs w:val="21"/>
                                    <w:u w:val="single"/>
                                    <w:lang w:eastAsia="it-IT"/>
                                  </w:rPr>
                                  <w:t>- </w:t>
                                </w:r>
                              </w:hyperlink>
                              <w:hyperlink r:id="rId16" w:anchor="Piracy" w:tgtFrame="_blank" w:history="1">
                                <w:r w:rsidRPr="00BE7FF6">
                                  <w:rPr>
                                    <w:rFonts w:ascii="Helvetica" w:eastAsia="Times New Roman" w:hAnsi="Helvetica" w:cs="Helvetica"/>
                                    <w:color w:val="007C89"/>
                                    <w:sz w:val="21"/>
                                    <w:szCs w:val="21"/>
                                    <w:u w:val="single"/>
                                    <w:lang w:eastAsia="it-IT"/>
                                  </w:rPr>
                                  <w:t>Piracy</w:t>
                                </w:r>
                              </w:hyperlink>
                              <w:r w:rsidRPr="00BE7FF6">
                                <w:rPr>
                                  <w:rFonts w:ascii="Helvetica" w:eastAsia="Times New Roman" w:hAnsi="Helvetica" w:cs="Helvetica"/>
                                  <w:color w:val="202020"/>
                                  <w:sz w:val="24"/>
                                  <w:szCs w:val="24"/>
                                  <w:lang w:eastAsia="it-IT"/>
                                </w:rPr>
                                <w:br/>
                              </w:r>
                              <w:hyperlink r:id="rId17" w:anchor="Audiovisual%20platform" w:tgtFrame="_blank" w:history="1">
                                <w:r w:rsidRPr="00BE7FF6">
                                  <w:rPr>
                                    <w:rFonts w:ascii="Helvetica" w:eastAsia="Times New Roman" w:hAnsi="Helvetica" w:cs="Helvetica"/>
                                    <w:color w:val="007C89"/>
                                    <w:sz w:val="21"/>
                                    <w:szCs w:val="21"/>
                                    <w:u w:val="single"/>
                                    <w:lang w:eastAsia="it-IT"/>
                                  </w:rPr>
                                  <w:t>- </w:t>
                                </w:r>
                              </w:hyperlink>
                              <w:hyperlink r:id="rId18" w:anchor="AV%20platforms" w:tgtFrame="_blank" w:history="1">
                                <w:r w:rsidRPr="00BE7FF6">
                                  <w:rPr>
                                    <w:rFonts w:ascii="Helvetica" w:eastAsia="Times New Roman" w:hAnsi="Helvetica" w:cs="Helvetica"/>
                                    <w:color w:val="007C89"/>
                                    <w:sz w:val="21"/>
                                    <w:szCs w:val="21"/>
                                    <w:u w:val="single"/>
                                    <w:lang w:eastAsia="it-IT"/>
                                  </w:rPr>
                                  <w:t>Audiovisual platforms</w:t>
                                </w:r>
                              </w:hyperlink>
                              <w:r w:rsidRPr="00BE7FF6">
                                <w:rPr>
                                  <w:rFonts w:ascii="Helvetica" w:eastAsia="Times New Roman" w:hAnsi="Helvetica" w:cs="Helvetica"/>
                                  <w:color w:val="202020"/>
                                  <w:sz w:val="21"/>
                                  <w:szCs w:val="21"/>
                                  <w:lang w:eastAsia="it-IT"/>
                                </w:rPr>
                                <w:br/>
                              </w:r>
                              <w:hyperlink r:id="rId19" w:anchor="Film%20&amp;%20TV" w:tgtFrame="_blank" w:history="1">
                                <w:r w:rsidRPr="00BE7FF6">
                                  <w:rPr>
                                    <w:rFonts w:ascii="Helvetica" w:eastAsia="Times New Roman" w:hAnsi="Helvetica" w:cs="Helvetica"/>
                                    <w:color w:val="007C89"/>
                                    <w:sz w:val="21"/>
                                    <w:szCs w:val="21"/>
                                    <w:u w:val="single"/>
                                    <w:lang w:eastAsia="it-IT"/>
                                  </w:rPr>
                                  <w:t>- </w:t>
                                </w:r>
                              </w:hyperlink>
                              <w:hyperlink r:id="rId20" w:anchor="Cinema%20&amp;%20TV" w:tgtFrame="_blank" w:history="1">
                                <w:r w:rsidRPr="00BE7FF6">
                                  <w:rPr>
                                    <w:rFonts w:ascii="Helvetica" w:eastAsia="Times New Roman" w:hAnsi="Helvetica" w:cs="Helvetica"/>
                                    <w:color w:val="007C89"/>
                                    <w:sz w:val="21"/>
                                    <w:szCs w:val="21"/>
                                    <w:u w:val="single"/>
                                    <w:lang w:eastAsia="it-IT"/>
                                  </w:rPr>
                                  <w:t>Film and TV</w:t>
                                </w:r>
                              </w:hyperlink>
                              <w:r w:rsidRPr="00BE7FF6">
                                <w:rPr>
                                  <w:rFonts w:ascii="Helvetica" w:eastAsia="Times New Roman" w:hAnsi="Helvetica" w:cs="Helvetica"/>
                                  <w:color w:val="202020"/>
                                  <w:sz w:val="21"/>
                                  <w:szCs w:val="21"/>
                                  <w:lang w:eastAsia="it-IT"/>
                                </w:rPr>
                                <w:br/>
                              </w:r>
                              <w:hyperlink r:id="rId21" w:anchor="festival" w:tgtFrame="_blank" w:history="1">
                                <w:r w:rsidRPr="00BE7FF6">
                                  <w:rPr>
                                    <w:rFonts w:ascii="Helvetica" w:eastAsia="Times New Roman" w:hAnsi="Helvetica" w:cs="Helvetica"/>
                                    <w:color w:val="007C89"/>
                                    <w:sz w:val="21"/>
                                    <w:szCs w:val="21"/>
                                    <w:u w:val="single"/>
                                    <w:lang w:eastAsia="it-IT"/>
                                  </w:rPr>
                                  <w:t>- </w:t>
                                </w:r>
                              </w:hyperlink>
                              <w:hyperlink r:id="rId22" w:anchor="Festivals" w:tgtFrame="_blank" w:history="1">
                                <w:r w:rsidRPr="00BE7FF6">
                                  <w:rPr>
                                    <w:rFonts w:ascii="Helvetica" w:eastAsia="Times New Roman" w:hAnsi="Helvetica" w:cs="Helvetica"/>
                                    <w:color w:val="007C89"/>
                                    <w:sz w:val="21"/>
                                    <w:szCs w:val="21"/>
                                    <w:u w:val="single"/>
                                    <w:lang w:eastAsia="it-IT"/>
                                  </w:rPr>
                                  <w:t>Festival</w:t>
                                </w:r>
                              </w:hyperlink>
                              <w:r w:rsidRPr="00BE7FF6">
                                <w:rPr>
                                  <w:rFonts w:ascii="Helvetica" w:eastAsia="Times New Roman" w:hAnsi="Helvetica" w:cs="Helvetica"/>
                                  <w:color w:val="202020"/>
                                  <w:sz w:val="21"/>
                                  <w:szCs w:val="21"/>
                                  <w:lang w:eastAsia="it-IT"/>
                                </w:rPr>
                                <w:br/>
                              </w:r>
                              <w:hyperlink r:id="rId23" w:anchor="recent%20studies" w:tgtFrame="_blank" w:history="1">
                                <w:r w:rsidRPr="00BE7FF6">
                                  <w:rPr>
                                    <w:rFonts w:ascii="Helvetica" w:eastAsia="Times New Roman" w:hAnsi="Helvetica" w:cs="Helvetica"/>
                                    <w:color w:val="007C89"/>
                                    <w:sz w:val="21"/>
                                    <w:szCs w:val="21"/>
                                    <w:u w:val="single"/>
                                    <w:lang w:eastAsia="it-IT"/>
                                  </w:rPr>
                                  <w:t>- </w:t>
                                </w:r>
                              </w:hyperlink>
                              <w:hyperlink r:id="rId24" w:anchor="recent%20studies" w:tgtFrame="_blank" w:history="1">
                                <w:r w:rsidRPr="00BE7FF6">
                                  <w:rPr>
                                    <w:rFonts w:ascii="Helvetica" w:eastAsia="Times New Roman" w:hAnsi="Helvetica" w:cs="Helvetica"/>
                                    <w:color w:val="007C89"/>
                                    <w:sz w:val="21"/>
                                    <w:szCs w:val="21"/>
                                    <w:u w:val="single"/>
                                    <w:lang w:eastAsia="it-IT"/>
                                  </w:rPr>
                                  <w:t>Recent studies</w:t>
                                </w:r>
                              </w:hyperlink>
                              <w:r w:rsidRPr="00BE7FF6">
                                <w:rPr>
                                  <w:rFonts w:ascii="Helvetica" w:eastAsia="Times New Roman" w:hAnsi="Helvetica" w:cs="Helvetica"/>
                                  <w:color w:val="202020"/>
                                  <w:sz w:val="21"/>
                                  <w:szCs w:val="21"/>
                                  <w:lang w:eastAsia="it-IT"/>
                                </w:rPr>
                                <w:br/>
                              </w:r>
                              <w:hyperlink r:id="rId25" w:anchor="Events" w:tgtFrame="_blank" w:history="1">
                                <w:r w:rsidRPr="00BE7FF6">
                                  <w:rPr>
                                    <w:rFonts w:ascii="Helvetica" w:eastAsia="Times New Roman" w:hAnsi="Helvetica" w:cs="Helvetica"/>
                                    <w:color w:val="007C89"/>
                                    <w:sz w:val="21"/>
                                    <w:szCs w:val="21"/>
                                    <w:u w:val="single"/>
                                    <w:lang w:eastAsia="it-IT"/>
                                  </w:rPr>
                                  <w:t>- Events</w:t>
                                </w:r>
                              </w:hyperlink>
                              <w:r w:rsidRPr="00BE7FF6">
                                <w:rPr>
                                  <w:rFonts w:ascii="Helvetica" w:eastAsia="Times New Roman" w:hAnsi="Helvetica" w:cs="Helvetica"/>
                                  <w:color w:val="202020"/>
                                  <w:sz w:val="21"/>
                                  <w:szCs w:val="21"/>
                                  <w:lang w:eastAsia="it-IT"/>
                                </w:rPr>
                                <w:br/>
                              </w:r>
                              <w:hyperlink r:id="rId26" w:anchor="Interesting%20links" w:tgtFrame="_blank" w:history="1">
                                <w:r w:rsidRPr="00BE7FF6">
                                  <w:rPr>
                                    <w:rFonts w:ascii="Helvetica" w:eastAsia="Times New Roman" w:hAnsi="Helvetica" w:cs="Helvetica"/>
                                    <w:color w:val="007C89"/>
                                    <w:sz w:val="21"/>
                                    <w:szCs w:val="21"/>
                                    <w:u w:val="single"/>
                                    <w:lang w:eastAsia="it-IT"/>
                                  </w:rPr>
                                  <w:t>- Interesting links</w:t>
                                </w:r>
                              </w:hyperlink>
                            </w:p>
                          </w:tc>
                        </w:tr>
                      </w:tbl>
                      <w:p w14:paraId="0635CAA6"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83A48BE"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A1D914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AFA994A"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1F5B8C90" w14:textId="77777777">
                                <w:tc>
                                  <w:tcPr>
                                    <w:tcW w:w="0" w:type="auto"/>
                                    <w:shd w:val="clear" w:color="auto" w:fill="4CAAD8"/>
                                    <w:tcMar>
                                      <w:top w:w="270" w:type="dxa"/>
                                      <w:left w:w="270" w:type="dxa"/>
                                      <w:bottom w:w="270" w:type="dxa"/>
                                      <w:right w:w="270" w:type="dxa"/>
                                    </w:tcMar>
                                    <w:hideMark/>
                                  </w:tcPr>
                                  <w:p w14:paraId="4F0574B8" w14:textId="77777777" w:rsidR="00BE7FF6" w:rsidRPr="00BE7FF6" w:rsidRDefault="00BE7FF6" w:rsidP="00BE7FF6">
                                    <w:pPr>
                                      <w:spacing w:after="0" w:line="315" w:lineRule="atLeast"/>
                                      <w:rPr>
                                        <w:rFonts w:ascii="Helvetica" w:eastAsia="Times New Roman" w:hAnsi="Helvetica" w:cs="Helvetica"/>
                                        <w:color w:val="222222"/>
                                        <w:sz w:val="21"/>
                                        <w:szCs w:val="21"/>
                                        <w:lang w:eastAsia="it-IT"/>
                                      </w:rPr>
                                    </w:pPr>
                                    <w:r w:rsidRPr="00BE7FF6">
                                      <w:rPr>
                                        <w:rFonts w:ascii="Helvetica" w:eastAsia="Times New Roman" w:hAnsi="Helvetica" w:cs="Helvetica"/>
                                        <w:color w:val="222222"/>
                                        <w:sz w:val="45"/>
                                        <w:szCs w:val="45"/>
                                        <w:lang w:eastAsia="it-IT"/>
                                      </w:rPr>
                                      <w:lastRenderedPageBreak/>
                                      <w:t>Latest from the EU</w:t>
                                    </w:r>
                                    <w:bookmarkStart w:id="0" w:name="Latest_from_the_EU"/>
                                    <w:bookmarkEnd w:id="0"/>
                                  </w:p>
                                </w:tc>
                              </w:tr>
                            </w:tbl>
                            <w:p w14:paraId="162C425D"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AD78BD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B5B0B29"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F0B57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8DC757F" w14:textId="77777777">
                          <w:tc>
                            <w:tcPr>
                              <w:tcW w:w="0" w:type="auto"/>
                              <w:tcMar>
                                <w:top w:w="0" w:type="dxa"/>
                                <w:left w:w="270" w:type="dxa"/>
                                <w:bottom w:w="135" w:type="dxa"/>
                                <w:right w:w="270" w:type="dxa"/>
                              </w:tcMar>
                              <w:hideMark/>
                            </w:tcPr>
                            <w:p w14:paraId="4EC810EA"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636C0BF" wp14:editId="7D8D1688">
                                    <wp:simplePos x="0" y="0"/>
                                    <wp:positionH relativeFrom="column">
                                      <wp:align>left</wp:align>
                                    </wp:positionH>
                                    <wp:positionV relativeFrom="line">
                                      <wp:posOffset>0</wp:posOffset>
                                    </wp:positionV>
                                    <wp:extent cx="1609725" cy="1609725"/>
                                    <wp:effectExtent l="0" t="0" r="9525" b="9525"/>
                                    <wp:wrapSquare wrapText="bothSides"/>
                                    <wp:docPr id="25" name="Immagine 25" descr="Immagine che contiene persona,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persona, tuta&#10;&#10;Descrizione generat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Macron discusses “Les Grandes Priorités” for his upcoming Council Presidency</w:t>
                              </w:r>
                              <w:bookmarkStart w:id="1" w:name="1.1"/>
                              <w:bookmarkEnd w:id="1"/>
                            </w:p>
                            <w:p w14:paraId="6C3DC5DC"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On Thursday 9 December, French President Emmanuel Macron held a press conference in which he highlighted “Les Grandes Priorités” for the French Presidency for the Council of the European Union starting on the 1st of January 2022.</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Up until this point, the French government had only announced that its presidency would be built around the concepts of “recovery, strength and a sense of belonging”. During the press conference Macron went deeper into the matter and called out his three big thematic priorities for the first half of 2022; sustainability, technology/digitalisation and geo-political challenges.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On digital policy Macron mentioned that the two priorities on top of the list are the DSA and DMA.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Every presidency has its own website where they list their priorities and contact details for policy areas; </w:t>
                              </w:r>
                              <w:hyperlink r:id="rId28" w:tgtFrame="_blank" w:history="1">
                                <w:r w:rsidRPr="00BE7FF6">
                                  <w:rPr>
                                    <w:rFonts w:ascii="Helvetica" w:eastAsia="Times New Roman" w:hAnsi="Helvetica" w:cs="Helvetica"/>
                                    <w:color w:val="007C89"/>
                                    <w:sz w:val="18"/>
                                    <w:szCs w:val="18"/>
                                    <w:u w:val="single"/>
                                    <w:lang w:eastAsia="it-IT"/>
                                  </w:rPr>
                                  <w:t>click here</w:t>
                                </w:r>
                              </w:hyperlink>
                              <w:r w:rsidRPr="00BE7FF6">
                                <w:rPr>
                                  <w:rFonts w:ascii="Helvetica" w:eastAsia="Times New Roman" w:hAnsi="Helvetica" w:cs="Helvetica"/>
                                  <w:color w:val="202020"/>
                                  <w:sz w:val="18"/>
                                  <w:szCs w:val="18"/>
                                  <w:lang w:eastAsia="it-IT"/>
                                </w:rPr>
                                <w:t> to access the French Presidency website. Furthermore announcements might be made on the website of </w:t>
                              </w:r>
                              <w:hyperlink r:id="rId29" w:tgtFrame="_blank" w:history="1">
                                <w:r w:rsidRPr="00BE7FF6">
                                  <w:rPr>
                                    <w:rFonts w:ascii="Helvetica" w:eastAsia="Times New Roman" w:hAnsi="Helvetica" w:cs="Helvetica"/>
                                    <w:color w:val="007C89"/>
                                    <w:sz w:val="18"/>
                                    <w:szCs w:val="18"/>
                                    <w:u w:val="single"/>
                                    <w:lang w:eastAsia="it-IT"/>
                                  </w:rPr>
                                  <w:t>L’Élysée</w:t>
                                </w:r>
                              </w:hyperlink>
                              <w:r w:rsidRPr="00BE7FF6">
                                <w:rPr>
                                  <w:rFonts w:ascii="Helvetica" w:eastAsia="Times New Roman" w:hAnsi="Helvetica" w:cs="Helvetica"/>
                                  <w:color w:val="202020"/>
                                  <w:sz w:val="18"/>
                                  <w:szCs w:val="18"/>
                                  <w:lang w:eastAsia="it-IT"/>
                                </w:rPr>
                                <w:t> and the </w:t>
                              </w:r>
                              <w:hyperlink r:id="rId30" w:tgtFrame="_blank" w:history="1">
                                <w:r w:rsidRPr="00BE7FF6">
                                  <w:rPr>
                                    <w:rFonts w:ascii="Helvetica" w:eastAsia="Times New Roman" w:hAnsi="Helvetica" w:cs="Helvetica"/>
                                    <w:color w:val="007C89"/>
                                    <w:sz w:val="18"/>
                                    <w:szCs w:val="18"/>
                                    <w:u w:val="single"/>
                                    <w:lang w:eastAsia="it-IT"/>
                                  </w:rPr>
                                  <w:t>European Council</w:t>
                                </w:r>
                              </w:hyperlink>
                              <w:r w:rsidRPr="00BE7FF6">
                                <w:rPr>
                                  <w:rFonts w:ascii="Helvetica" w:eastAsia="Times New Roman" w:hAnsi="Helvetica" w:cs="Helvetica"/>
                                  <w:color w:val="202020"/>
                                  <w:sz w:val="18"/>
                                  <w:szCs w:val="18"/>
                                  <w:lang w:eastAsia="it-IT"/>
                                </w:rPr>
                                <w:t>.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Macron’s full speech and press conference can be watched by clicking on </w:t>
                              </w:r>
                              <w:hyperlink r:id="rId31" w:tgtFrame="_blank" w:history="1">
                                <w:r w:rsidRPr="00BE7FF6">
                                  <w:rPr>
                                    <w:rFonts w:ascii="Helvetica" w:eastAsia="Times New Roman" w:hAnsi="Helvetica" w:cs="Helvetica"/>
                                    <w:color w:val="007C89"/>
                                    <w:sz w:val="18"/>
                                    <w:szCs w:val="18"/>
                                    <w:u w:val="single"/>
                                    <w:lang w:eastAsia="it-IT"/>
                                  </w:rPr>
                                  <w:t>this link</w:t>
                                </w:r>
                              </w:hyperlink>
                              <w:r w:rsidRPr="00BE7FF6">
                                <w:rPr>
                                  <w:rFonts w:ascii="Helvetica" w:eastAsia="Times New Roman" w:hAnsi="Helvetica" w:cs="Helvetica"/>
                                  <w:color w:val="202020"/>
                                  <w:sz w:val="18"/>
                                  <w:szCs w:val="18"/>
                                  <w:lang w:eastAsia="it-IT"/>
                                </w:rPr>
                                <w:t>. If you want to learn more about France’s policy priorities we suggest </w:t>
                              </w:r>
                              <w:hyperlink r:id="rId32" w:tgtFrame="_blank" w:history="1">
                                <w:r w:rsidRPr="00BE7FF6">
                                  <w:rPr>
                                    <w:rFonts w:ascii="Helvetica" w:eastAsia="Times New Roman" w:hAnsi="Helvetica" w:cs="Helvetica"/>
                                    <w:color w:val="007C89"/>
                                    <w:sz w:val="18"/>
                                    <w:szCs w:val="18"/>
                                    <w:u w:val="single"/>
                                    <w:lang w:eastAsia="it-IT"/>
                                  </w:rPr>
                                  <w:t>the following article by Euronews</w:t>
                                </w:r>
                              </w:hyperlink>
                              <w:r w:rsidRPr="00BE7FF6">
                                <w:rPr>
                                  <w:rFonts w:ascii="Helvetica" w:eastAsia="Times New Roman" w:hAnsi="Helvetica" w:cs="Helvetica"/>
                                  <w:color w:val="202020"/>
                                  <w:sz w:val="18"/>
                                  <w:szCs w:val="18"/>
                                  <w:lang w:eastAsia="it-IT"/>
                                </w:rPr>
                                <w:t>.</w:t>
                              </w:r>
                            </w:p>
                          </w:tc>
                        </w:tr>
                      </w:tbl>
                      <w:p w14:paraId="5C944441"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1293DFE"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501EA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B621355" w14:textId="77777777">
                          <w:tc>
                            <w:tcPr>
                              <w:tcW w:w="0" w:type="auto"/>
                              <w:tcMar>
                                <w:top w:w="0" w:type="dxa"/>
                                <w:left w:w="270" w:type="dxa"/>
                                <w:bottom w:w="135" w:type="dxa"/>
                                <w:right w:w="270" w:type="dxa"/>
                              </w:tcMar>
                              <w:hideMark/>
                            </w:tcPr>
                            <w:p w14:paraId="163C075A"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8A6539F" wp14:editId="0FE2CA1D">
                                    <wp:simplePos x="0" y="0"/>
                                    <wp:positionH relativeFrom="column">
                                      <wp:align>right</wp:align>
                                    </wp:positionH>
                                    <wp:positionV relativeFrom="line">
                                      <wp:posOffset>0</wp:posOffset>
                                    </wp:positionV>
                                    <wp:extent cx="1609725" cy="1609725"/>
                                    <wp:effectExtent l="0" t="0" r="9525" b="9525"/>
                                    <wp:wrapSquare wrapText="bothSides"/>
                                    <wp:docPr id="24" name="Immagine 24" descr="Immagine che contiene testo, luce, traffic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luce, traffico, esterni&#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German ‘traffic-light-coalition’ kicks off</w:t>
                              </w:r>
                              <w:bookmarkStart w:id="2" w:name="1.2"/>
                              <w:bookmarkEnd w:id="2"/>
                            </w:p>
                            <w:p w14:paraId="17F2C584"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On Wednesday, the German Bundestag voted to install Olaf Scholz (SPD) as the new Bundeskanzler, replacing Angela Merkel after 4 consecutive governments and 16 years as the leader of the EU biggest Member States.</w:t>
                              </w:r>
                            </w:p>
                            <w:p w14:paraId="579006CF"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That same day, the rest of the German cabinet was voted upon and installed by Bundespresident Frank-Walter Steinmeier. Germany's new minister for Digital Affairs and Transport is Dr. Volker Wissing. Wissing is the current General Secretary of the Free Democratic Party of Germany and the leader of the FDP in his home state of Rhineland-Palatinate.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It is already clear that the new German government will speak more strongly in favour of end-to-end encryption and against the introduction of backdoors for messenger services.</w:t>
                              </w:r>
                            </w:p>
                          </w:tc>
                        </w:tr>
                      </w:tbl>
                      <w:p w14:paraId="0C8C7F72"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58F9DD4"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4EAACE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53FF7B32" w14:textId="77777777">
                          <w:tc>
                            <w:tcPr>
                              <w:tcW w:w="0" w:type="auto"/>
                              <w:tcMar>
                                <w:top w:w="0" w:type="dxa"/>
                                <w:left w:w="270" w:type="dxa"/>
                                <w:bottom w:w="135" w:type="dxa"/>
                                <w:right w:w="270" w:type="dxa"/>
                              </w:tcMar>
                              <w:hideMark/>
                            </w:tcPr>
                            <w:p w14:paraId="61A6A4DB"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UPDATED: The Commission’s draft tech agenda for 2022</w:t>
                              </w:r>
                              <w:bookmarkStart w:id="3" w:name="1.3"/>
                              <w:bookmarkEnd w:id="3"/>
                            </w:p>
                            <w:p w14:paraId="510F5367"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18"/>
                                  <w:szCs w:val="18"/>
                                  <w:lang w:eastAsia="it-IT"/>
                                </w:rPr>
                                <w:lastRenderedPageBreak/>
                                <w:t>The Commission's ambitious draft Agenda for the Coming year</w:t>
                              </w:r>
                              <w:r w:rsidRPr="00BE7FF6">
                                <w:rPr>
                                  <w:rFonts w:ascii="Helvetica" w:eastAsia="Times New Roman" w:hAnsi="Helvetica" w:cs="Helvetica"/>
                                  <w:color w:val="202020"/>
                                  <w:sz w:val="18"/>
                                  <w:szCs w:val="18"/>
                                  <w:lang w:eastAsia="it-IT"/>
                                </w:rPr>
                                <w:br/>
                                <w:t>The EU’s executive’s most contentious upcoming plans cover laws to boost  Europe’s chips sector while forcing companies to share big data and tax U.S. tech giants more fairly. The new agenda for 2022 also include a new standardisation strategy to influence international technological standard settings, a plan to build a global secure communication system, the long-awaited Data Act, new legislations to tackle child abuse online, the European Chips Act  and the European Media Freedom Act. </w:t>
                              </w:r>
                              <w:r w:rsidRPr="00BE7FF6">
                                <w:rPr>
                                  <w:rFonts w:ascii="Helvetica" w:eastAsia="Times New Roman" w:hAnsi="Helvetica" w:cs="Helvetica"/>
                                  <w:color w:val="202020"/>
                                  <w:sz w:val="18"/>
                                  <w:szCs w:val="18"/>
                                  <w:lang w:eastAsia="it-IT"/>
                                </w:rPr>
                                <w:br/>
                                <w:t>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b/>
                                  <w:bCs/>
                                  <w:color w:val="202020"/>
                                  <w:sz w:val="18"/>
                                  <w:szCs w:val="18"/>
                                  <w:lang w:eastAsia="it-IT"/>
                                </w:rPr>
                                <w:t>Rebuilding Europe, What happened ?</w:t>
                              </w:r>
                              <w:r w:rsidRPr="00BE7FF6">
                                <w:rPr>
                                  <w:rFonts w:ascii="Helvetica" w:eastAsia="Times New Roman" w:hAnsi="Helvetica" w:cs="Helvetica"/>
                                  <w:color w:val="202020"/>
                                  <w:sz w:val="18"/>
                                  <w:szCs w:val="18"/>
                                  <w:lang w:eastAsia="it-IT"/>
                                </w:rPr>
                                <w:br/>
                                <w:t>During Ernst and Young’s Rebuilding Europe with Culture conference, several prominent figures of the media industry, EU Parliament and European Commission, shared their views of the future of the cultural sector in Europe.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David Maria Sassoli, reflected the views of the European Parliament, and stressed the importance of culture for European identity, sovereignty and economy.  He also noted the need to rebalance the position of the industry vis a vis big - mostly-American - platforms as a fundamental step to ensure the independence of the sector, which is also guaranteed via the EU’s financial support packages.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Commissioner Gabriel also participated in the event. She reminded attendees of the importance of supporting the culture industries as an essential milestone of a strong sustainable recovery. She also highlighted culture’s role as a creator of an European identity, the positive impact of the Creative Europe and remarked that, according to recent estimates, most member states have sticked to their pledge to dedicate at least 2 % of their recovery plans to the sector. She ended her intervention by summarizing the future of the sector, the changes brought by the DSA and DMA, the financial support of European institutions and the need of the sector to incorporate new technologies to adapt to a new digitised marketplace. On the latter, Gabriel also noted the need for European creators and industrial leaders to think as Europeans when it comes to distributing and releasing their products.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Commissioner Breton also participated in the event and mirrored the comments of his colleague. He insisted on the compromise of the Commission to help Europeans compete against big platforms. To do so, Breton promised to double down on related legislation. He promised renewed efforts surrounding the AVMSD and the Media Freedom Act. He also remarked on the importance of new financial support systems for the industry, as well as new enabling frameworks to achieve transformation and innovation inside the industry.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 xml:space="preserve">Sabine Verheyen, as Chair of the Culture Committee in the European Parliament, built upon the comments of the Commissioners and commented on some aspects of Europe’s cultural support policies that need to be refined. She started by pointing out that despite indeed investing more than 2% of their recovery plans in the industry,  not every European member state has reached that figure. Reflected on this, she then insisted on the need for the Commission to take care of the implementation of the recovery plans to ensure </w:t>
                              </w:r>
                              <w:r w:rsidRPr="00BE7FF6">
                                <w:rPr>
                                  <w:rFonts w:ascii="Helvetica" w:eastAsia="Times New Roman" w:hAnsi="Helvetica" w:cs="Helvetica"/>
                                  <w:color w:val="202020"/>
                                  <w:sz w:val="18"/>
                                  <w:szCs w:val="18"/>
                                  <w:lang w:eastAsia="it-IT"/>
                                </w:rPr>
                                <w:lastRenderedPageBreak/>
                                <w:t>that the support plans are transposed efficiently into the legal systems of every member state.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Later on, Verheyen also stressed the importance of respecting existing copyright legislation, like the controversial DSA, by making sure that new legal documents like it make copyrights an integral part of their provisions. With regards to the latter, the MEP pointed to the danger of big platforms getting their way in some parts of the new piece of legislation. According to her, if the DSA is released in its current form, it threatens undermining editorial independence without significant legal obligations like the inclusion of strong liability, customer rules and due diligence provisions, as well as other lacking measures against  predatory practices. Her MEP colleague, Christian Eheler, also from the EPP, completed Verheyen’s statement by remarking the AV industry’s importance to European identity and the danger that American platforms can cause to their market ecosystem.  He even compared their introduction to the market to the Hun invasion of Europe during late antiquity.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To close off, Roselyne Bachelot-Narquin, French Minister of Culture, concluded by stressing the importance of finalising the transposition of the Copyright directive into national law and the need for the DSA and DMA to ensure that big platforms respect the former’s rights and European laws. On the later, the minister stated that culture will be an essential milestone of France’s presidency of the Council and that protecting European sovereignty in the cultural and creative sectors will be the guiding principle of the hexagon’s terenure.</w:t>
                              </w:r>
                            </w:p>
                          </w:tc>
                        </w:tr>
                      </w:tbl>
                      <w:p w14:paraId="0B2612C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9C9BA7F"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2551C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071A353F" w14:textId="77777777">
                          <w:tc>
                            <w:tcPr>
                              <w:tcW w:w="0" w:type="auto"/>
                              <w:tcMar>
                                <w:top w:w="0" w:type="dxa"/>
                                <w:left w:w="270" w:type="dxa"/>
                                <w:bottom w:w="135" w:type="dxa"/>
                                <w:right w:w="270" w:type="dxa"/>
                              </w:tcMar>
                              <w:hideMark/>
                            </w:tcPr>
                            <w:p w14:paraId="1B045675"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The European Film Awards award pan-European movies, announcing the shortlist for 2022’s Lux Audience Awards</w:t>
                              </w:r>
                              <w:bookmarkStart w:id="4" w:name="1.4"/>
                              <w:bookmarkEnd w:id="4"/>
                            </w:p>
                            <w:p w14:paraId="10758273"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European collaboration bears its fruits when it comes to international recognition. The pan-European “Quo Vadis, Aida?” has been announced as the winner of the European Film Awards, with the also pan-European “Flee/Flugt” taking the best European Animated Feature Film Prize and the Norwegian “Ninjababy” taking over the Best European Comedy Award.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list of winners also includes short listed candidates for the coming second edition of the Lux Audience Awards. The awards are allocated on the basis of public open voting that would last from the 12 of December to the 25 of May 2022. Among the selected candidates stands the aforementioned “Flee”, “Great Freedom”, awarded the prize for best cinematography at the European film Awards and the already successful “Quo Vadis, Aida?”. The award ceremony will take place on 8 June 2022 at the European Parliament in Strasbourg.</w:t>
                              </w:r>
                            </w:p>
                          </w:tc>
                        </w:tr>
                      </w:tbl>
                      <w:p w14:paraId="13795F99"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62FF251"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4585E1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6A2F875" w14:textId="77777777">
                          <w:tc>
                            <w:tcPr>
                              <w:tcW w:w="0" w:type="auto"/>
                              <w:tcMar>
                                <w:top w:w="0" w:type="dxa"/>
                                <w:left w:w="270" w:type="dxa"/>
                                <w:bottom w:w="135" w:type="dxa"/>
                                <w:right w:w="270" w:type="dxa"/>
                              </w:tcMar>
                              <w:hideMark/>
                            </w:tcPr>
                            <w:p w14:paraId="786FBECD"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FERA General Assembly members reflect on the industry’s present and future </w:t>
                              </w:r>
                              <w:bookmarkStart w:id="5" w:name="1.5"/>
                            </w:p>
                            <w:p w14:paraId="71F7B335"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 xml:space="preserve">The Federation of European Screen Directors (FERA) has moved its yearly conference online and postponed its in person event until May next year. The online conference took place on December 1st , when 50 representatives of members from 26 countries gathered online to debate and exchange views and </w:t>
                              </w:r>
                              <w:r w:rsidRPr="00BE7FF6">
                                <w:rPr>
                                  <w:rFonts w:ascii="Helvetica" w:eastAsia="Times New Roman" w:hAnsi="Helvetica" w:cs="Helvetica"/>
                                  <w:color w:val="202020"/>
                                  <w:sz w:val="18"/>
                                  <w:szCs w:val="18"/>
                                  <w:lang w:eastAsia="it-IT"/>
                                </w:rPr>
                                <w:lastRenderedPageBreak/>
                                <w:t>recommendations on the future actions of the organization.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members recognized the need to to increase and develop new ways of collaboration within the FERA network with the ultimate objective of scaling up their collective representation across the continent. Its leaders highlighted the importance of cinema as an art form genuine to every country’s cultural identity. New commitments were also made to ensure that creators make a decent level while fighting for the highest quality possible in the production of audio visual works in Europe.</w:t>
                              </w:r>
                            </w:p>
                          </w:tc>
                        </w:tr>
                      </w:tbl>
                      <w:p w14:paraId="7522723F"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C2CE7ED"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6EC75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9CB27E3" w14:textId="77777777">
                          <w:tc>
                            <w:tcPr>
                              <w:tcW w:w="0" w:type="auto"/>
                              <w:tcMar>
                                <w:top w:w="0" w:type="dxa"/>
                                <w:left w:w="270" w:type="dxa"/>
                                <w:bottom w:w="135" w:type="dxa"/>
                                <w:right w:w="270" w:type="dxa"/>
                              </w:tcMar>
                              <w:hideMark/>
                            </w:tcPr>
                            <w:p w14:paraId="21CA492A"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European Audiovisual Observatory publishes its 2022 calendar</w:t>
                              </w:r>
                            </w:p>
                            <w:p w14:paraId="68659078"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CEPI Secretariat received from the European Audiovisual Observatory their planned events, publications and research papers for 2022.</w:t>
                              </w:r>
                              <w:r w:rsidRPr="00BE7FF6">
                                <w:rPr>
                                  <w:rFonts w:ascii="Helvetica" w:eastAsia="Times New Roman" w:hAnsi="Helvetica" w:cs="Helvetica"/>
                                  <w:color w:val="202020"/>
                                  <w:sz w:val="18"/>
                                  <w:szCs w:val="18"/>
                                  <w:lang w:eastAsia="it-IT"/>
                                </w:rPr>
                                <w:br/>
                                <w:t>Please find the calendar </w:t>
                              </w:r>
                              <w:hyperlink r:id="rId34" w:tgtFrame="_blank" w:history="1">
                                <w:r w:rsidRPr="00BE7FF6">
                                  <w:rPr>
                                    <w:rFonts w:ascii="Helvetica" w:eastAsia="Times New Roman" w:hAnsi="Helvetica" w:cs="Helvetica"/>
                                    <w:color w:val="007C89"/>
                                    <w:sz w:val="18"/>
                                    <w:szCs w:val="18"/>
                                    <w:u w:val="single"/>
                                    <w:lang w:eastAsia="it-IT"/>
                                  </w:rPr>
                                  <w:t>here</w:t>
                                </w:r>
                              </w:hyperlink>
                              <w:r w:rsidRPr="00BE7FF6">
                                <w:rPr>
                                  <w:rFonts w:ascii="Helvetica" w:eastAsia="Times New Roman" w:hAnsi="Helvetica" w:cs="Helvetica"/>
                                  <w:color w:val="202020"/>
                                  <w:sz w:val="18"/>
                                  <w:szCs w:val="18"/>
                                  <w:lang w:eastAsia="it-IT"/>
                                </w:rPr>
                                <w:t> and some relevant items below:</w:t>
                              </w:r>
                            </w:p>
                            <w:p w14:paraId="1B643EFC" w14:textId="77777777" w:rsidR="00BE7FF6" w:rsidRPr="00BE7FF6" w:rsidRDefault="00BE7FF6" w:rsidP="00BE7FF6">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March: Yearbook Key Trends 2021: Television, cinema, video and on-demand audiovisual services – The pan-European picture</w:t>
                              </w:r>
                            </w:p>
                            <w:p w14:paraId="6FD118E5" w14:textId="77777777" w:rsidR="00BE7FF6" w:rsidRPr="00BE7FF6" w:rsidRDefault="00BE7FF6" w:rsidP="00BE7FF6">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May: Focus 2022 – World Film Market Trends</w:t>
                              </w:r>
                            </w:p>
                            <w:p w14:paraId="43B4F0BE" w14:textId="77777777" w:rsidR="00BE7FF6" w:rsidRPr="00BE7FF6" w:rsidRDefault="00BE7FF6" w:rsidP="00BE7FF6">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Conference at Cannes Festival: Access to and availability of European films</w:t>
                              </w:r>
                            </w:p>
                            <w:p w14:paraId="0F848411" w14:textId="77777777" w:rsidR="00BE7FF6" w:rsidRPr="00BE7FF6" w:rsidRDefault="00BE7FF6" w:rsidP="00BE7FF6">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November: Analysis of VOD catalogues</w:t>
                              </w:r>
                            </w:p>
                          </w:tc>
                        </w:tr>
                        <w:bookmarkEnd w:id="5"/>
                      </w:tbl>
                      <w:p w14:paraId="31C613A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8578608"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3A24E9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66EE62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2434624D" w14:textId="77777777">
                                <w:tc>
                                  <w:tcPr>
                                    <w:tcW w:w="0" w:type="auto"/>
                                    <w:shd w:val="clear" w:color="auto" w:fill="4CAAD8"/>
                                    <w:tcMar>
                                      <w:top w:w="270" w:type="dxa"/>
                                      <w:left w:w="270" w:type="dxa"/>
                                      <w:bottom w:w="270" w:type="dxa"/>
                                      <w:right w:w="270" w:type="dxa"/>
                                    </w:tcMar>
                                    <w:hideMark/>
                                  </w:tcPr>
                                  <w:p w14:paraId="20BD961C"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5"/>
                                        <w:szCs w:val="45"/>
                                        <w:lang w:eastAsia="it-IT"/>
                                      </w:rPr>
                                      <w:t>Covid-19: Impact on the sector</w:t>
                                    </w:r>
                                    <w:bookmarkStart w:id="6" w:name="Covid_19"/>
                                    <w:bookmarkEnd w:id="6"/>
                                  </w:p>
                                </w:tc>
                              </w:tr>
                            </w:tbl>
                            <w:p w14:paraId="08ABEB4F"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7813A32"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4AD695F"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3AA79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F3F5776" w14:textId="77777777">
                          <w:tc>
                            <w:tcPr>
                              <w:tcW w:w="0" w:type="auto"/>
                              <w:tcMar>
                                <w:top w:w="0" w:type="dxa"/>
                                <w:left w:w="270" w:type="dxa"/>
                                <w:bottom w:w="135" w:type="dxa"/>
                                <w:right w:w="270" w:type="dxa"/>
                              </w:tcMar>
                              <w:hideMark/>
                            </w:tcPr>
                            <w:p w14:paraId="2BB020AE"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bookmarkStart w:id="7" w:name="2.1"/>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A707BBA" wp14:editId="18474319">
                                    <wp:simplePos x="0" y="0"/>
                                    <wp:positionH relativeFrom="column">
                                      <wp:align>left</wp:align>
                                    </wp:positionH>
                                    <wp:positionV relativeFrom="line">
                                      <wp:posOffset>0</wp:posOffset>
                                    </wp:positionV>
                                    <wp:extent cx="1609725" cy="1609725"/>
                                    <wp:effectExtent l="0" t="0" r="9525" b="9525"/>
                                    <wp:wrapSquare wrapText="bothSides"/>
                                    <wp:docPr id="23" name="Immagine 23" descr="Immagine che contiene testo, interni, negoz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interni, negozio&#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UK imposes compulsory mask wearing in its cinemas, but not a vaccine mandate</w:t>
                              </w:r>
                            </w:p>
                            <w:p w14:paraId="1EE26B69"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UK Cinema Association (UKCA) regards the new rules mandating masks in British cinemas as  “a reasonable measure given the current circumstances.”</w:t>
                              </w:r>
                              <w:r w:rsidRPr="00BE7FF6">
                                <w:rPr>
                                  <w:rFonts w:ascii="Helvetica" w:eastAsia="Times New Roman" w:hAnsi="Helvetica" w:cs="Helvetica"/>
                                  <w:color w:val="202020"/>
                                  <w:sz w:val="18"/>
                                  <w:szCs w:val="18"/>
                                  <w:lang w:eastAsia="it-IT"/>
                                </w:rPr>
                                <w:br/>
                                <w:t>The Omicron variant forced the decision by the UK government, which also includes the imposition of “Covid passports” for certain indoor venues.The latter will become mandatory for those venues with more than a 500 capacity, which exempts cinemas from the measure. Vue chief Tim Richards also commented on the decision, stating that “There is still not a single Covid case attributed to a cinema globally.”</w:t>
                              </w:r>
                            </w:p>
                          </w:tc>
                        </w:tr>
                      </w:tbl>
                      <w:p w14:paraId="6C0B2C2C"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E0FF4B5"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8B08D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45AC834" w14:textId="77777777">
                          <w:tc>
                            <w:tcPr>
                              <w:tcW w:w="0" w:type="auto"/>
                              <w:tcMar>
                                <w:top w:w="0" w:type="dxa"/>
                                <w:left w:w="270" w:type="dxa"/>
                                <w:bottom w:w="135" w:type="dxa"/>
                                <w:right w:w="270" w:type="dxa"/>
                              </w:tcMar>
                              <w:hideMark/>
                            </w:tcPr>
                            <w:p w14:paraId="052B9CEC"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00E5D63A" wp14:editId="0C580EC5">
                                    <wp:simplePos x="0" y="0"/>
                                    <wp:positionH relativeFrom="column">
                                      <wp:align>right</wp:align>
                                    </wp:positionH>
                                    <wp:positionV relativeFrom="line">
                                      <wp:posOffset>0</wp:posOffset>
                                    </wp:positionV>
                                    <wp:extent cx="1609725" cy="1609725"/>
                                    <wp:effectExtent l="0" t="0" r="9525" b="9525"/>
                                    <wp:wrapSquare wrapText="bothSides"/>
                                    <wp:docPr id="22" name="Immagine 22" descr="Immagine che contiene testo, esterni, ro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testo, esterni, rosso&#10;&#10;Descrizione generat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German cinemas will only welcome those who are vaccinated</w:t>
                              </w:r>
                            </w:p>
                            <w:p w14:paraId="752FC30D"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Germany is now introducing Covid protocols that will ban unvaccinated people from various culture and leisure venues. The country is now fighting a heavy fourth wave of the pandemic, with more than 70,000 cases reported on 7 December.</w:t>
                              </w:r>
                              <w:r w:rsidRPr="00BE7FF6">
                                <w:rPr>
                                  <w:rFonts w:ascii="Helvetica" w:eastAsia="Times New Roman" w:hAnsi="Helvetica" w:cs="Helvetica"/>
                                  <w:color w:val="202020"/>
                                  <w:sz w:val="18"/>
                                  <w:szCs w:val="18"/>
                                  <w:lang w:eastAsia="it-IT"/>
                                </w:rPr>
                                <w:br/>
                                <w:t>Only vaccinated people, or those who have recently recovered from the virus, will be able to go into cinemas and cultural events. The tightening of restrictions put more pressure on large-scale cultural events such as the Berlin International Film Festival, due to run February 10-20. The festival has confirmed that it is anticipating mask wearing to be compulsory during the event, potentially not limited to indoors, and that capacities may have to be reduced in some cinemas. The event is currently assessing whether testing will be mandatory for vaccinated guests.</w:t>
                              </w:r>
                            </w:p>
                          </w:tc>
                        </w:tr>
                      </w:tbl>
                      <w:p w14:paraId="69BF3DB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8302090"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6CA57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C98EE91" w14:textId="77777777">
                          <w:tc>
                            <w:tcPr>
                              <w:tcW w:w="0" w:type="auto"/>
                              <w:tcMar>
                                <w:top w:w="0" w:type="dxa"/>
                                <w:left w:w="270" w:type="dxa"/>
                                <w:bottom w:w="135" w:type="dxa"/>
                                <w:right w:w="270" w:type="dxa"/>
                              </w:tcMar>
                              <w:hideMark/>
                            </w:tcPr>
                            <w:p w14:paraId="495E2AB3"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Collective Management Organizations protect performers from the impact of the pandemic</w:t>
                              </w:r>
                              <w:r w:rsidRPr="00BE7FF6">
                                <w:rPr>
                                  <w:rFonts w:ascii="Helvetica" w:eastAsia="Times New Roman" w:hAnsi="Helvetica" w:cs="Helvetica"/>
                                  <w:color w:val="202020"/>
                                  <w:sz w:val="18"/>
                                  <w:szCs w:val="18"/>
                                  <w:lang w:eastAsia="it-IT"/>
                                </w:rPr>
                                <w:br/>
                                <w:t>Even if the Covid-19 pandemic has hit the cultural industries very hard, collective management has succeeded in limiting its impact on performers. AEPO-ARTIS and SCARP conducted a survey among their members that states that, despite the general drop in revenues – from €848 million in 2019 to €776 million in 2020 – collective management organizations were able to increase their distributions while helping performers in need. With the way their collections and distributions are organized, performers CMOs have been able to slow down the negative effects for performers in 2020. However, given the figures for 2020 and 2021, they will not be able to keep distributions at the same level in the next few years. Societies predicting future distributions anticipate a decline in payments, reflecting the drop in collections. Nevertheless, SCAPR and AEPO-ARTIS have been a stabilizing factor in the turbulent careers of artists during these hard times. </w:t>
                              </w:r>
                            </w:p>
                          </w:tc>
                        </w:tr>
                        <w:bookmarkEnd w:id="7"/>
                      </w:tbl>
                      <w:p w14:paraId="52050CD6"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B901520"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5B39952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54F393EC"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5DA714E7" w14:textId="77777777">
                                <w:tc>
                                  <w:tcPr>
                                    <w:tcW w:w="0" w:type="auto"/>
                                    <w:shd w:val="clear" w:color="auto" w:fill="4CAAD8"/>
                                    <w:tcMar>
                                      <w:top w:w="270" w:type="dxa"/>
                                      <w:left w:w="270" w:type="dxa"/>
                                      <w:bottom w:w="270" w:type="dxa"/>
                                      <w:right w:w="270" w:type="dxa"/>
                                    </w:tcMar>
                                    <w:hideMark/>
                                  </w:tcPr>
                                  <w:p w14:paraId="21874677"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0"/>
                                        <w:szCs w:val="40"/>
                                        <w:lang w:eastAsia="it-IT"/>
                                      </w:rPr>
                                      <w:t>Latest on the AV industry</w:t>
                                    </w:r>
                                    <w:bookmarkStart w:id="8" w:name="Latest_on_AV_industry"/>
                                    <w:bookmarkEnd w:id="8"/>
                                  </w:p>
                                </w:tc>
                              </w:tr>
                            </w:tbl>
                            <w:p w14:paraId="6DD9BB4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F7EB6DA"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B1C99DE"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56265D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CAA26A5" w14:textId="77777777">
                          <w:tc>
                            <w:tcPr>
                              <w:tcW w:w="0" w:type="auto"/>
                              <w:tcMar>
                                <w:top w:w="0" w:type="dxa"/>
                                <w:left w:w="270" w:type="dxa"/>
                                <w:bottom w:w="135" w:type="dxa"/>
                                <w:right w:w="270" w:type="dxa"/>
                              </w:tcMar>
                              <w:hideMark/>
                            </w:tcPr>
                            <w:p w14:paraId="2347AE2B"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93B48AD" wp14:editId="625FE129">
                                    <wp:simplePos x="0" y="0"/>
                                    <wp:positionH relativeFrom="column">
                                      <wp:align>left</wp:align>
                                    </wp:positionH>
                                    <wp:positionV relativeFrom="line">
                                      <wp:posOffset>0</wp:posOffset>
                                    </wp:positionV>
                                    <wp:extent cx="1609725" cy="1609725"/>
                                    <wp:effectExtent l="0" t="0" r="9525" b="9525"/>
                                    <wp:wrapSquare wrapText="bothSides"/>
                                    <wp:docPr id="21" name="Immagine 21" descr="Immagine che contiene testo, grafica vettori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grafica vettoriale&#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The most  complete report on the cultural side of the EU’s National Recovery and Resilience Plans</w:t>
                              </w:r>
                              <w:bookmarkStart w:id="9" w:name="3.1"/>
                              <w:bookmarkEnd w:id="9"/>
                            </w:p>
                            <w:p w14:paraId="0FF17D44"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A new </w:t>
                              </w:r>
                              <w:hyperlink r:id="rId38" w:tgtFrame="_blank" w:history="1">
                                <w:r w:rsidRPr="00BE7FF6">
                                  <w:rPr>
                                    <w:rFonts w:ascii="Helvetica" w:eastAsia="Times New Roman" w:hAnsi="Helvetica" w:cs="Helvetica"/>
                                    <w:color w:val="007C89"/>
                                    <w:sz w:val="18"/>
                                    <w:szCs w:val="18"/>
                                    <w:u w:val="single"/>
                                    <w:lang w:eastAsia="it-IT"/>
                                  </w:rPr>
                                  <w:t>publication</w:t>
                                </w:r>
                              </w:hyperlink>
                              <w:r w:rsidRPr="00BE7FF6">
                                <w:rPr>
                                  <w:rFonts w:ascii="Helvetica" w:eastAsia="Times New Roman" w:hAnsi="Helvetica" w:cs="Helvetica"/>
                                  <w:color w:val="202020"/>
                                  <w:sz w:val="18"/>
                                  <w:szCs w:val="18"/>
                                  <w:lang w:eastAsia="it-IT"/>
                                </w:rPr>
                                <w:t> by Culture in Action Europe and its members offers one of the most complete overviews of the place of culture in National Recovery and Resilience Plans (NRRPs) across Europe.</w:t>
                              </w:r>
                            </w:p>
                            <w:p w14:paraId="3E5F64C8"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 xml:space="preserve">The report intends to analyze what types of investments and reforms contained in the NRRPs directly support Europe’s cultural and creative industries, which have proven to be among the most affected by the restrictions imposed during the Covid </w:t>
                              </w:r>
                              <w:r w:rsidRPr="00BE7FF6">
                                <w:rPr>
                                  <w:rFonts w:ascii="Helvetica" w:eastAsia="Times New Roman" w:hAnsi="Helvetica" w:cs="Helvetica"/>
                                  <w:color w:val="202020"/>
                                  <w:sz w:val="18"/>
                                  <w:szCs w:val="18"/>
                                  <w:lang w:eastAsia="it-IT"/>
                                </w:rPr>
                                <w:lastRenderedPageBreak/>
                                <w:t>Pandemic. It also provides extensive information on how the resources of each national plan have been used. Only Italy, Austria, France, Finland and the Czech Republic have complied with their commitments, planning to spend over or around 2% of their NRRP’s in the cultural sector at the moment the report was drafted.</w:t>
                              </w:r>
                            </w:p>
                          </w:tc>
                        </w:tr>
                      </w:tbl>
                      <w:p w14:paraId="5699678D"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8D8D47D"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597B21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265E0AB"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65456264" w14:textId="77777777">
                                <w:tc>
                                  <w:tcPr>
                                    <w:tcW w:w="0" w:type="auto"/>
                                    <w:shd w:val="clear" w:color="auto" w:fill="4CAAD8"/>
                                    <w:tcMar>
                                      <w:top w:w="270" w:type="dxa"/>
                                      <w:left w:w="270" w:type="dxa"/>
                                      <w:bottom w:w="270" w:type="dxa"/>
                                      <w:right w:w="270" w:type="dxa"/>
                                    </w:tcMar>
                                    <w:hideMark/>
                                  </w:tcPr>
                                  <w:p w14:paraId="515C841E"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5"/>
                                        <w:szCs w:val="45"/>
                                        <w:lang w:eastAsia="it-IT"/>
                                      </w:rPr>
                                      <w:t>Copyright</w:t>
                                    </w:r>
                                    <w:bookmarkStart w:id="10" w:name="Copyright"/>
                                    <w:bookmarkEnd w:id="10"/>
                                  </w:p>
                                </w:tc>
                              </w:tr>
                            </w:tbl>
                            <w:p w14:paraId="31DC7AF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968EDE4"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63C933CF"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8EC1D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ECC52E3" w14:textId="77777777">
                          <w:tc>
                            <w:tcPr>
                              <w:tcW w:w="0" w:type="auto"/>
                              <w:tcMar>
                                <w:top w:w="0" w:type="dxa"/>
                                <w:left w:w="270" w:type="dxa"/>
                                <w:bottom w:w="135" w:type="dxa"/>
                                <w:right w:w="270" w:type="dxa"/>
                              </w:tcMar>
                              <w:hideMark/>
                            </w:tcPr>
                            <w:p w14:paraId="38D56D3B"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34DCEF5" wp14:editId="2B093BC3">
                                    <wp:simplePos x="0" y="0"/>
                                    <wp:positionH relativeFrom="column">
                                      <wp:align>left</wp:align>
                                    </wp:positionH>
                                    <wp:positionV relativeFrom="line">
                                      <wp:posOffset>0</wp:posOffset>
                                    </wp:positionV>
                                    <wp:extent cx="1609725" cy="1609725"/>
                                    <wp:effectExtent l="0" t="0" r="9525" b="952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Youtube has a long way to go before finding the right policy to handle copyright claims</w:t>
                              </w:r>
                              <w:bookmarkStart w:id="11" w:name="4.1"/>
                              <w:bookmarkEnd w:id="11"/>
                              <w:r w:rsidRPr="00BE7FF6">
                                <w:rPr>
                                  <w:rFonts w:ascii="Helvetica" w:eastAsia="Times New Roman" w:hAnsi="Helvetica" w:cs="Helvetica"/>
                                  <w:color w:val="202020"/>
                                  <w:sz w:val="18"/>
                                  <w:szCs w:val="18"/>
                                  <w:lang w:eastAsia="it-IT"/>
                                </w:rPr>
                                <w:br/>
                                <w:t>Youtube’s new "</w:t>
                              </w:r>
                              <w:hyperlink r:id="rId40" w:tgtFrame="_blank" w:history="1">
                                <w:r w:rsidRPr="00BE7FF6">
                                  <w:rPr>
                                    <w:rFonts w:ascii="Helvetica" w:eastAsia="Times New Roman" w:hAnsi="Helvetica" w:cs="Helvetica"/>
                                    <w:color w:val="007C89"/>
                                    <w:sz w:val="18"/>
                                    <w:szCs w:val="18"/>
                                    <w:u w:val="single"/>
                                    <w:lang w:eastAsia="it-IT"/>
                                  </w:rPr>
                                  <w:t>Copyright Transparency Report</w:t>
                                </w:r>
                              </w:hyperlink>
                              <w:r w:rsidRPr="00BE7FF6">
                                <w:rPr>
                                  <w:rFonts w:ascii="Helvetica" w:eastAsia="Times New Roman" w:hAnsi="Helvetica" w:cs="Helvetica"/>
                                  <w:color w:val="202020"/>
                                  <w:sz w:val="18"/>
                                  <w:szCs w:val="18"/>
                                  <w:lang w:eastAsia="it-IT"/>
                                </w:rPr>
                                <w:t>" sheds light on the huge volume and variety of copyright claims on Youtube videos. Some of the figures of the report are eye-catching. For starters, it's worth noting that over 99% of the copyright claims YouTube receives comes from ContentID, an automated system.</w:t>
                              </w:r>
                              <w:r w:rsidRPr="00BE7FF6">
                                <w:rPr>
                                  <w:rFonts w:ascii="Helvetica" w:eastAsia="Times New Roman" w:hAnsi="Helvetica" w:cs="Helvetica"/>
                                  <w:color w:val="202020"/>
                                  <w:sz w:val="18"/>
                                  <w:szCs w:val="18"/>
                                  <w:lang w:eastAsia="it-IT"/>
                                </w:rPr>
                                <w:br/>
                                <w:t>Another fact is that fewer than 1% of all Content ID claims were disputed. This may point out to the veracity and effectiveness of the system. However, experts point to the possibility that most users either lack the time, interest, knowledge or bravery to dispute a copyright claim like this.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Another striking outcome of the report accounts how 2.2 million claims were overturned in favor of the uploader in a six month period. The latter figure sepacks in favour of the complaints of creators on the procedural hurdles defending  their content from copyright infringement claims. In response, the organization has pledged to increase the transparency of the process from now on.</w:t>
                              </w:r>
                            </w:p>
                          </w:tc>
                        </w:tr>
                      </w:tbl>
                      <w:p w14:paraId="2F94C23B"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52E4629"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550ED0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1D87E41" w14:textId="77777777">
                          <w:tc>
                            <w:tcPr>
                              <w:tcW w:w="0" w:type="auto"/>
                              <w:tcMar>
                                <w:top w:w="0" w:type="dxa"/>
                                <w:left w:w="270" w:type="dxa"/>
                                <w:bottom w:w="135" w:type="dxa"/>
                                <w:right w:w="270" w:type="dxa"/>
                              </w:tcMar>
                              <w:hideMark/>
                            </w:tcPr>
                            <w:p w14:paraId="2B46452C"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C466881" wp14:editId="5423ED56">
                                    <wp:simplePos x="0" y="0"/>
                                    <wp:positionH relativeFrom="column">
                                      <wp:align>right</wp:align>
                                    </wp:positionH>
                                    <wp:positionV relativeFrom="line">
                                      <wp:posOffset>0</wp:posOffset>
                                    </wp:positionV>
                                    <wp:extent cx="1609725" cy="1609725"/>
                                    <wp:effectExtent l="0" t="0" r="9525" b="952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Private copying will no longer be free for computer’s printers and e-readers</w:t>
                              </w:r>
                              <w:bookmarkStart w:id="12" w:name="4.2"/>
                              <w:bookmarkEnd w:id="12"/>
                              <w:r w:rsidRPr="00BE7FF6">
                                <w:rPr>
                                  <w:rFonts w:ascii="Helvetica" w:eastAsia="Times New Roman" w:hAnsi="Helvetica" w:cs="Helvetica"/>
                                  <w:color w:val="202020"/>
                                  <w:sz w:val="18"/>
                                  <w:szCs w:val="18"/>
                                  <w:lang w:eastAsia="it-IT"/>
                                </w:rPr>
                                <w:br/>
                                <w:t>From now on, when buying a consumer computer, printer or e-reader in Belgium, consumers will have to pay higher fees as the machine allows making private copies of copyright works.</w:t>
                              </w:r>
                              <w:r w:rsidRPr="00BE7FF6">
                                <w:rPr>
                                  <w:rFonts w:ascii="Helvetica" w:eastAsia="Times New Roman" w:hAnsi="Helvetica" w:cs="Helvetica"/>
                                  <w:color w:val="202020"/>
                                  <w:sz w:val="18"/>
                                  <w:szCs w:val="18"/>
                                  <w:lang w:eastAsia="it-IT"/>
                                </w:rPr>
                                <w:br/>
                                <w:t>This is the result of a new agreement signed by technology industry federation Agoria and Auvibel, the associations that collects and distributes the copy charge.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rates will be reasonable and take into consideration the selling price of the devices and careers concerned and will come as a flat rate for other  devices not previously covered by the copy charge – smartphones, tablets, memory cards, DVDs and CDs among others. The tariffs will come in the Spring, after the Belgian Council of State gives its approval.</w:t>
                              </w:r>
                            </w:p>
                          </w:tc>
                        </w:tr>
                      </w:tbl>
                      <w:p w14:paraId="29705237"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456855B"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2C114E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2D8B146"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10EC150E" w14:textId="77777777">
                                <w:tc>
                                  <w:tcPr>
                                    <w:tcW w:w="0" w:type="auto"/>
                                    <w:shd w:val="clear" w:color="auto" w:fill="4CAAD8"/>
                                    <w:tcMar>
                                      <w:top w:w="270" w:type="dxa"/>
                                      <w:left w:w="270" w:type="dxa"/>
                                      <w:bottom w:w="270" w:type="dxa"/>
                                      <w:right w:w="270" w:type="dxa"/>
                                    </w:tcMar>
                                    <w:hideMark/>
                                  </w:tcPr>
                                  <w:p w14:paraId="7646B073"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5"/>
                                        <w:szCs w:val="45"/>
                                        <w:lang w:eastAsia="it-IT"/>
                                      </w:rPr>
                                      <w:lastRenderedPageBreak/>
                                      <w:t>Digital Services Act and platform regulation</w:t>
                                    </w:r>
                                    <w:bookmarkStart w:id="13" w:name="DSA_&amp;_platform"/>
                                    <w:bookmarkEnd w:id="13"/>
                                  </w:p>
                                </w:tc>
                              </w:tr>
                            </w:tbl>
                            <w:p w14:paraId="4BF07581"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E15BB59"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44BDE60"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A3852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1BA4BAF" w14:textId="77777777">
                          <w:tc>
                            <w:tcPr>
                              <w:tcW w:w="0" w:type="auto"/>
                              <w:tcMar>
                                <w:top w:w="0" w:type="dxa"/>
                                <w:left w:w="270" w:type="dxa"/>
                                <w:bottom w:w="135" w:type="dxa"/>
                                <w:right w:w="270" w:type="dxa"/>
                              </w:tcMar>
                              <w:hideMark/>
                            </w:tcPr>
                            <w:p w14:paraId="3D9ED766"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154D93B" wp14:editId="2F1E6FDF">
                                    <wp:simplePos x="0" y="0"/>
                                    <wp:positionH relativeFrom="column">
                                      <wp:align>left</wp:align>
                                    </wp:positionH>
                                    <wp:positionV relativeFrom="line">
                                      <wp:posOffset>0</wp:posOffset>
                                    </wp:positionV>
                                    <wp:extent cx="1609725" cy="1609725"/>
                                    <wp:effectExtent l="0" t="0" r="9525" b="952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Digital Markets Act: European Parliament aim at catching Amazon Prime in the scope </w:t>
                              </w:r>
                              <w:bookmarkStart w:id="14" w:name="5.1"/>
                              <w:r w:rsidRPr="00BE7FF6">
                                <w:rPr>
                                  <w:rFonts w:ascii="Helvetica" w:eastAsia="Times New Roman" w:hAnsi="Helvetica" w:cs="Helvetica"/>
                                  <w:color w:val="202020"/>
                                  <w:sz w:val="24"/>
                                  <w:szCs w:val="24"/>
                                  <w:lang w:eastAsia="it-IT"/>
                                </w:rPr>
                                <w:br/>
                              </w:r>
                              <w:r w:rsidRPr="00BE7FF6">
                                <w:rPr>
                                  <w:rFonts w:ascii="Helvetica" w:eastAsia="Times New Roman" w:hAnsi="Helvetica" w:cs="Helvetica"/>
                                  <w:color w:val="202020"/>
                                  <w:sz w:val="18"/>
                                  <w:szCs w:val="18"/>
                                  <w:lang w:eastAsia="it-IT"/>
                                </w:rPr>
                                <w:t>The IMCO report on the Digital Markets Act (DMA) regulation proposal has been adopted in plenary of the European parliament this week. The Digital Markets Act aims to ensure that platforms acting as gatekeepers behave in a fair way online.</w:t>
                              </w:r>
                              <w:r w:rsidRPr="00BE7FF6">
                                <w:rPr>
                                  <w:rFonts w:ascii="Helvetica" w:eastAsia="Times New Roman" w:hAnsi="Helvetica" w:cs="Helvetica"/>
                                  <w:color w:val="202020"/>
                                  <w:sz w:val="18"/>
                                  <w:szCs w:val="18"/>
                                  <w:lang w:eastAsia="it-IT"/>
                                </w:rPr>
                                <w:br/>
                                <w:t>Ahead of the vote, CEPI joined other European associations representing Producers, Distributors, Book Sellers and Publishers who sent a statement requesting European MEPs (attached) to support a set of amendments to extend the scope of the new rules to gatekeepers ancillary services. Some of these </w:t>
                              </w:r>
                              <w:hyperlink r:id="rId43" w:tgtFrame="_blank" w:history="1">
                                <w:r w:rsidRPr="00BE7FF6">
                                  <w:rPr>
                                    <w:rFonts w:ascii="Helvetica" w:eastAsia="Times New Roman" w:hAnsi="Helvetica" w:cs="Helvetica"/>
                                    <w:color w:val="007C89"/>
                                    <w:sz w:val="18"/>
                                    <w:szCs w:val="18"/>
                                    <w:u w:val="single"/>
                                    <w:lang w:eastAsia="it-IT"/>
                                  </w:rPr>
                                  <w:t>amendments have been adopted in plenary</w:t>
                                </w:r>
                              </w:hyperlink>
                              <w:r w:rsidRPr="00BE7FF6">
                                <w:rPr>
                                  <w:rFonts w:ascii="Helvetica" w:eastAsia="Times New Roman" w:hAnsi="Helvetica" w:cs="Helvetica"/>
                                  <w:color w:val="202020"/>
                                  <w:sz w:val="18"/>
                                  <w:szCs w:val="18"/>
                                  <w:lang w:eastAsia="it-IT"/>
                                </w:rPr>
                                <w:t>.</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DMA will impose new obligations to gatekeepers, that is, companies whose services are unavoidable in order to operate a viable online business. The regulation aims at abolishing anti competitive practises online and set a level playing field for companies to flourish. However, it was concerning that the DMA does not include in its scope certain ancillary services of gatekeepers such as retail and distribution. Business partners of the gatekeeper, such as producers and distributors, have little or no choice but to rely on these ancillary services for the distribution of their works, and they are heavily impacted by the inordinate power which gatekeepers are able to leverage in these markets. By omitting these ancillary services, the text adopted in IMCO creates a legal loophole that will allow significant anti-competitive behaviours to continue. Failing to close this loophole will deprive some important European sectors, such as the audio-visual and book sectors, of any of the benefits provided by the DMA, particularly in the field of data sharing or abusive contractual clauses.</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In order to close these loopholes, CEPI supported amendments 244, 245 and 246 (description attached) aiming at extending the transparency and interoperability obligations gatekeepers would be subject to, to their ancillary services. Since global streaming platforms do not fall under the definition of what is a gatekeeper, our supported amendment 244 had the potential to apply data transparency obligations to related Streaming services of gatekeepers such as Amazon Prime for Amazon.</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We are happy to see that on </w:t>
                              </w:r>
                              <w:hyperlink r:id="rId44" w:tgtFrame="_blank" w:history="1">
                                <w:r w:rsidRPr="00BE7FF6">
                                  <w:rPr>
                                    <w:rFonts w:ascii="Helvetica" w:eastAsia="Times New Roman" w:hAnsi="Helvetica" w:cs="Helvetica"/>
                                    <w:color w:val="007C89"/>
                                    <w:sz w:val="18"/>
                                    <w:szCs w:val="18"/>
                                    <w:u w:val="single"/>
                                    <w:lang w:eastAsia="it-IT"/>
                                  </w:rPr>
                                  <w:t>15 December, IMCO voted</w:t>
                                </w:r>
                              </w:hyperlink>
                              <w:r w:rsidRPr="00BE7FF6">
                                <w:rPr>
                                  <w:rFonts w:ascii="Helvetica" w:eastAsia="Times New Roman" w:hAnsi="Helvetica" w:cs="Helvetica"/>
                                  <w:color w:val="202020"/>
                                  <w:sz w:val="18"/>
                                  <w:szCs w:val="18"/>
                                  <w:lang w:eastAsia="it-IT"/>
                                </w:rPr>
                                <w:t> the regulation including amendment 244 in its final text.</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lastRenderedPageBreak/>
                                <w:t>Negotiations with EU governments are planned to start under the French presidency of the Council in the first semester of 2022.</w:t>
                              </w:r>
                            </w:p>
                          </w:tc>
                        </w:tr>
                      </w:tbl>
                      <w:p w14:paraId="32F63412"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DC3FE62"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556295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7E8B4A2" w14:textId="77777777">
                          <w:tc>
                            <w:tcPr>
                              <w:tcW w:w="0" w:type="auto"/>
                              <w:tcMar>
                                <w:top w:w="0" w:type="dxa"/>
                                <w:left w:w="270" w:type="dxa"/>
                                <w:bottom w:w="135" w:type="dxa"/>
                                <w:right w:w="270" w:type="dxa"/>
                              </w:tcMar>
                              <w:hideMark/>
                            </w:tcPr>
                            <w:p w14:paraId="7302C58C"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DB683C6" wp14:editId="1DEA0608">
                                    <wp:simplePos x="0" y="0"/>
                                    <wp:positionH relativeFrom="column">
                                      <wp:align>right</wp:align>
                                    </wp:positionH>
                                    <wp:positionV relativeFrom="line">
                                      <wp:posOffset>0</wp:posOffset>
                                    </wp:positionV>
                                    <wp:extent cx="1609725" cy="1609725"/>
                                    <wp:effectExtent l="0" t="0" r="9525" b="952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Disappointing IMCO vote on DSA, but a genuinely safe and trustworthy online environment is still possible</w:t>
                              </w:r>
                              <w:r w:rsidRPr="00BE7FF6">
                                <w:rPr>
                                  <w:rFonts w:ascii="Helvetica" w:eastAsia="Times New Roman" w:hAnsi="Helvetica" w:cs="Helvetica"/>
                                  <w:color w:val="202020"/>
                                  <w:sz w:val="24"/>
                                  <w:szCs w:val="24"/>
                                  <w:lang w:eastAsia="it-IT"/>
                                </w:rPr>
                                <w:br/>
                              </w:r>
                              <w:r w:rsidRPr="00BE7FF6">
                                <w:rPr>
                                  <w:rFonts w:ascii="Helvetica" w:eastAsia="Times New Roman" w:hAnsi="Helvetica" w:cs="Helvetica"/>
                                  <w:color w:val="202020"/>
                                  <w:sz w:val="18"/>
                                  <w:szCs w:val="18"/>
                                  <w:lang w:eastAsia="it-IT"/>
                                </w:rPr>
                                <w:t>On Tuesday morning, the Internal Markets Committee of the European Parliament (IMCO) adopted the report by Schaldemose with an overwhelming majority. All tabled </w:t>
                              </w:r>
                              <w:hyperlink r:id="rId46" w:tgtFrame="_blank" w:history="1">
                                <w:r w:rsidRPr="00BE7FF6">
                                  <w:rPr>
                                    <w:rFonts w:ascii="Helvetica" w:eastAsia="Times New Roman" w:hAnsi="Helvetica" w:cs="Helvetica"/>
                                    <w:color w:val="007C89"/>
                                    <w:sz w:val="18"/>
                                    <w:szCs w:val="18"/>
                                    <w:u w:val="single"/>
                                    <w:lang w:eastAsia="it-IT"/>
                                  </w:rPr>
                                  <w:t>Compromise Amendments</w:t>
                                </w:r>
                              </w:hyperlink>
                              <w:r w:rsidRPr="00BE7FF6">
                                <w:rPr>
                                  <w:rFonts w:ascii="Helvetica" w:eastAsia="Times New Roman" w:hAnsi="Helvetica" w:cs="Helvetica"/>
                                  <w:color w:val="202020"/>
                                  <w:sz w:val="18"/>
                                  <w:szCs w:val="18"/>
                                  <w:lang w:eastAsia="it-IT"/>
                                </w:rPr>
                                <w:t> (CA) were adopted.</w:t>
                              </w:r>
                              <w:r w:rsidRPr="00BE7FF6">
                                <w:rPr>
                                  <w:rFonts w:ascii="Helvetica" w:eastAsia="Times New Roman" w:hAnsi="Helvetica" w:cs="Helvetica"/>
                                  <w:color w:val="202020"/>
                                  <w:sz w:val="18"/>
                                  <w:szCs w:val="18"/>
                                  <w:lang w:eastAsia="it-IT"/>
                                </w:rPr>
                                <w:br/>
                                <w:t>The EP plenary is scheduled to vote for the Digital Services Act in the week of 17 January. A press release by the IMCO committee on the DSA can be accessed here. CEPI hopes that the European Parliament will show ambition and address the main shortcomings of the IMCO report.</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Together with Creativity Works, we have signed a letter in which we suggest the following improvements to the DSA:</w:t>
                              </w:r>
                            </w:p>
                            <w:p w14:paraId="4C6184CB" w14:textId="77777777" w:rsidR="00BE7FF6" w:rsidRPr="00BE7FF6" w:rsidRDefault="00BE7FF6" w:rsidP="00BE7FF6">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i/>
                                  <w:iCs/>
                                  <w:color w:val="202020"/>
                                  <w:sz w:val="18"/>
                                  <w:szCs w:val="18"/>
                                  <w:lang w:eastAsia="it-IT"/>
                                </w:rPr>
                                <w:t>A broader scope for Know Your Business Customer obligations is essential</w:t>
                              </w:r>
                              <w:r w:rsidRPr="00BE7FF6">
                                <w:rPr>
                                  <w:rFonts w:ascii="Helvetica" w:eastAsia="Times New Roman" w:hAnsi="Helvetica" w:cs="Helvetica"/>
                                  <w:color w:val="202020"/>
                                  <w:sz w:val="18"/>
                                  <w:szCs w:val="18"/>
                                  <w:lang w:eastAsia="it-IT"/>
                                </w:rPr>
                                <w:t> to increase transparency and would be tremendously beneficial to EU citizens and consumers. All online intermediaries should also ensure the traceability of their business customers. Such an obligation would deter illegitimate businesses and ensure they no longer enjoy a “license to operate illegally” online. Know Your Business Customer (KYBC) obligations should not be limited to online marketplaces and should be applicable to all in the interests of a level playing field.</w:t>
                              </w:r>
                            </w:p>
                            <w:p w14:paraId="5430402E" w14:textId="77777777" w:rsidR="00BE7FF6" w:rsidRPr="00BE7FF6" w:rsidRDefault="00BE7FF6" w:rsidP="00BE7FF6">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i/>
                                  <w:iCs/>
                                  <w:color w:val="202020"/>
                                  <w:sz w:val="18"/>
                                  <w:szCs w:val="18"/>
                                  <w:lang w:eastAsia="it-IT"/>
                                </w:rPr>
                                <w:t>The DSA should not grant new liability privileges</w:t>
                              </w:r>
                              <w:r w:rsidRPr="00BE7FF6">
                                <w:rPr>
                                  <w:rFonts w:ascii="Helvetica" w:eastAsia="Times New Roman" w:hAnsi="Helvetica" w:cs="Helvetica"/>
                                  <w:color w:val="202020"/>
                                  <w:sz w:val="18"/>
                                  <w:szCs w:val="18"/>
                                  <w:lang w:eastAsia="it-IT"/>
                                </w:rPr>
                                <w:t>. Enhancing the accountability of search engines can be achieved through the introduction of effective due diligence obligations, not by granting them a broad and unjustified “safe harbour”. Recital 27a suggests the possible qualification of search engines as “caching”. Categorising search engines as “caching” providers would remove the incentive for search engines to fight against illegal content online.</w:t>
                              </w:r>
                            </w:p>
                            <w:p w14:paraId="5A1AF5C8" w14:textId="77777777" w:rsidR="00BE7FF6" w:rsidRPr="00BE7FF6" w:rsidRDefault="00BE7FF6" w:rsidP="00BE7FF6">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i/>
                                  <w:iCs/>
                                  <w:color w:val="202020"/>
                                  <w:sz w:val="18"/>
                                  <w:szCs w:val="18"/>
                                  <w:lang w:eastAsia="it-IT"/>
                                </w:rPr>
                                <w:t>A notice and stay up would be a step backwards and contradict the ambition of the DSA</w:t>
                              </w:r>
                              <w:r w:rsidRPr="00BE7FF6">
                                <w:rPr>
                                  <w:rFonts w:ascii="Helvetica" w:eastAsia="Times New Roman" w:hAnsi="Helvetica" w:cs="Helvetica"/>
                                  <w:color w:val="202020"/>
                                  <w:sz w:val="18"/>
                                  <w:szCs w:val="18"/>
                                  <w:lang w:eastAsia="it-IT"/>
                                </w:rPr>
                                <w:t>. Article 14 (3a) would allow illegal content to stay online for the duration of a “legal assessment”, creating a loophole that could easily be abused for online services not to remove illegal content expeditiously as required by their liability regime. Instead, an expeditious notice and stay down mechanism (i.e., permanent removal) for notified content, with a focus on relevant services should be introduced. This unique legislative opportunity should not be missed.</w:t>
                              </w:r>
                            </w:p>
                            <w:p w14:paraId="5753E806" w14:textId="77777777" w:rsidR="00BE7FF6" w:rsidRPr="00BE7FF6" w:rsidRDefault="00BE7FF6" w:rsidP="00BE7FF6">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i/>
                                  <w:iCs/>
                                  <w:color w:val="202020"/>
                                  <w:sz w:val="18"/>
                                  <w:szCs w:val="18"/>
                                  <w:lang w:eastAsia="it-IT"/>
                                </w:rPr>
                                <w:t>Trusted flaggers status should be available to all entities with expertise and a track record of accurate notices</w:t>
                              </w:r>
                              <w:r w:rsidRPr="00BE7FF6">
                                <w:rPr>
                                  <w:rFonts w:ascii="Helvetica" w:eastAsia="Times New Roman" w:hAnsi="Helvetica" w:cs="Helvetica"/>
                                  <w:color w:val="202020"/>
                                  <w:sz w:val="18"/>
                                  <w:szCs w:val="18"/>
                                  <w:lang w:eastAsia="it-IT"/>
                                </w:rPr>
                                <w:t xml:space="preserve">. “Trusted flaggers” means the end of bottlenecks for the removal of illegal content, freeing up more time to deal with disputed content. Many right holder organisations and individual companies are currently treated as trusted flaggers, as a result of their expertise and track records of accurate notices. These two qualities should prevail as criteria to award “trusted </w:t>
                              </w:r>
                              <w:r w:rsidRPr="00BE7FF6">
                                <w:rPr>
                                  <w:rFonts w:ascii="Helvetica" w:eastAsia="Times New Roman" w:hAnsi="Helvetica" w:cs="Helvetica"/>
                                  <w:color w:val="202020"/>
                                  <w:sz w:val="18"/>
                                  <w:szCs w:val="18"/>
                                  <w:lang w:eastAsia="it-IT"/>
                                </w:rPr>
                                <w:lastRenderedPageBreak/>
                                <w:t>flagger” status. There is no need for an additional “collective interest” requirement which would restrict individual companies’ access to trusted flaggers status.</w:t>
                              </w:r>
                            </w:p>
                            <w:p w14:paraId="48F91D60"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Read the statement on the </w:t>
                              </w:r>
                              <w:hyperlink r:id="rId47" w:tgtFrame="_blank" w:history="1">
                                <w:r w:rsidRPr="00BE7FF6">
                                  <w:rPr>
                                    <w:rFonts w:ascii="Helvetica" w:eastAsia="Times New Roman" w:hAnsi="Helvetica" w:cs="Helvetica"/>
                                    <w:color w:val="007C89"/>
                                    <w:sz w:val="18"/>
                                    <w:szCs w:val="18"/>
                                    <w:u w:val="single"/>
                                    <w:lang w:eastAsia="it-IT"/>
                                  </w:rPr>
                                  <w:t>website of Creativity Works</w:t>
                                </w:r>
                              </w:hyperlink>
                              <w:r w:rsidRPr="00BE7FF6">
                                <w:rPr>
                                  <w:rFonts w:ascii="Helvetica" w:eastAsia="Times New Roman" w:hAnsi="Helvetica" w:cs="Helvetica"/>
                                  <w:color w:val="202020"/>
                                  <w:sz w:val="18"/>
                                  <w:szCs w:val="18"/>
                                  <w:lang w:eastAsia="it-IT"/>
                                </w:rPr>
                                <w:t>.</w:t>
                              </w:r>
                            </w:p>
                          </w:tc>
                        </w:tr>
                        <w:bookmarkEnd w:id="14"/>
                      </w:tbl>
                      <w:p w14:paraId="55666CA3"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20DA1F2"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6F258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5652D4A" w14:textId="77777777">
                          <w:tc>
                            <w:tcPr>
                              <w:tcW w:w="0" w:type="auto"/>
                              <w:tcMar>
                                <w:top w:w="0" w:type="dxa"/>
                                <w:left w:w="270" w:type="dxa"/>
                                <w:bottom w:w="135" w:type="dxa"/>
                                <w:right w:w="270" w:type="dxa"/>
                              </w:tcMar>
                              <w:hideMark/>
                            </w:tcPr>
                            <w:p w14:paraId="200A89F9"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European Parliament adopts its position on the Digital Markets Act</w:t>
                              </w:r>
                              <w:bookmarkStart w:id="15" w:name="5.2"/>
                              <w:r w:rsidRPr="00BE7FF6">
                                <w:rPr>
                                  <w:rFonts w:ascii="Helvetica" w:eastAsia="Times New Roman" w:hAnsi="Helvetica" w:cs="Helvetica"/>
                                  <w:color w:val="202020"/>
                                  <w:sz w:val="18"/>
                                  <w:szCs w:val="18"/>
                                  <w:lang w:eastAsia="it-IT"/>
                                </w:rPr>
                                <w:br/>
                                <w:t>On Wednesday the 15th, the European Parliament adopted its position on the Digital Markets Act with 642 MEPs voting in favour, 8 against and 46 abstaning.Rapporteur Andreas Schwab requested MEPs not to table any further amendments for the plenary meeting, however several MEPs from the ECON and ITRE committees have submitted amendments for the plenary vote. Those amendments could lead to rules that allow digital music, books and films to be readable across different devices, among other things.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Of the amendments from the ECON committee only one (AM 235) out of 5 that tabled to get adopted. It is the AM that allows users to uninstall pre-installed apps and switch default settings or download alternative apps. ITREs most important amendments on interoperability have been rejected.</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During the plenary debate before the vote, rapporteur Schwab made the following observations:</w:t>
                              </w:r>
                            </w:p>
                            <w:p w14:paraId="4F5BCCC1" w14:textId="77777777" w:rsidR="00BE7FF6" w:rsidRPr="00BE7FF6" w:rsidRDefault="00BE7FF6" w:rsidP="00BE7FF6">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Killer acquisitions will be reviewed and examined, we want to ensure that companies can prevail with innovative ideas.</w:t>
                              </w:r>
                            </w:p>
                            <w:p w14:paraId="0FCAE3E7" w14:textId="77777777" w:rsidR="00BE7FF6" w:rsidRPr="00BE7FF6" w:rsidRDefault="00BE7FF6" w:rsidP="00BE7FF6">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Commission must work together with national authorities, enforcement will happen under the watch of the Commission.</w:t>
                              </w:r>
                            </w:p>
                            <w:p w14:paraId="7595DBF2" w14:textId="77777777" w:rsidR="00BE7FF6" w:rsidRPr="00BE7FF6" w:rsidRDefault="00BE7FF6" w:rsidP="00BE7FF6">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Interoperability: include messenger services and social media without undermining data protection</w:t>
                              </w:r>
                            </w:p>
                            <w:p w14:paraId="1123DA9D" w14:textId="77777777" w:rsidR="00BE7FF6" w:rsidRPr="00BE7FF6" w:rsidRDefault="00BE7FF6" w:rsidP="00BE7FF6">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Protection of personal data will impact advertising.</w:t>
                              </w:r>
                            </w:p>
                            <w:p w14:paraId="27866AB7" w14:textId="77777777" w:rsidR="00BE7FF6" w:rsidRPr="00BE7FF6" w:rsidRDefault="00BE7FF6" w:rsidP="00BE7FF6">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With the French presidency, new discussion will lead to meeting the expectations of our citizens.</w:t>
                              </w:r>
                            </w:p>
                            <w:p w14:paraId="6AB8B25D" w14:textId="77777777" w:rsidR="00BE7FF6" w:rsidRPr="00BE7FF6" w:rsidRDefault="00BE7FF6" w:rsidP="00BE7FF6">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Fair competition can be exported from Europe to the rest of the world.</w:t>
                              </w:r>
                            </w:p>
                            <w:p w14:paraId="4A9F895A"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French presidency is keen to start the trialogue negotiation with an objective to wrap up everything as soon as possible (considering France presidential election in May). Considering the shortness of the text it is possible that France will be successful in reaching an agreement under its presidency.</w:t>
                              </w:r>
                              <w:r w:rsidRPr="00BE7FF6">
                                <w:rPr>
                                  <w:rFonts w:ascii="Helvetica" w:eastAsia="Times New Roman" w:hAnsi="Helvetica" w:cs="Helvetica"/>
                                  <w:color w:val="202020"/>
                                  <w:sz w:val="18"/>
                                  <w:szCs w:val="18"/>
                                  <w:lang w:eastAsia="it-IT"/>
                                </w:rPr>
                                <w:br/>
                                <w:t>The Commission is expected to be the difficult party during the trialogue negotiations.</w:t>
                              </w:r>
                            </w:p>
                          </w:tc>
                        </w:tr>
                      </w:tbl>
                      <w:p w14:paraId="758769CA"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A3B0D7A"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B8C4F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5F85D398" w14:textId="77777777">
                          <w:tc>
                            <w:tcPr>
                              <w:tcW w:w="0" w:type="auto"/>
                              <w:tcMar>
                                <w:top w:w="0" w:type="dxa"/>
                                <w:left w:w="270" w:type="dxa"/>
                                <w:bottom w:w="135" w:type="dxa"/>
                                <w:right w:w="270" w:type="dxa"/>
                              </w:tcMar>
                              <w:hideMark/>
                            </w:tcPr>
                            <w:p w14:paraId="46810ABD"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US has ‘serious concerns’ about the impact of the DSA and DMA on American companies</w:t>
                              </w:r>
                              <w:r w:rsidRPr="00BE7FF6">
                                <w:rPr>
                                  <w:rFonts w:ascii="Helvetica" w:eastAsia="Times New Roman" w:hAnsi="Helvetica" w:cs="Helvetica"/>
                                  <w:color w:val="202020"/>
                                  <w:sz w:val="18"/>
                                  <w:szCs w:val="18"/>
                                  <w:lang w:eastAsia="it-IT"/>
                                </w:rPr>
                                <w:br/>
                                <w:t xml:space="preserve">U.S. Secretary of Commerce Gina Raimondo came out last week in criticism of the DSA and DMA, claiming that the regulatory efforts unfairly target American firms. Speaking as part of an event held by the U.S. Chamber of Commerce, Raimondo noted that both regulatory efforts disproportionately affect American companies. The most stringent rules as part of the Digital Services Act, reserved for so-called VLOPs (very large online platforms), will cover a range of firms but will catch those particularly emanating from the U.S. As for the Digital Markets Act, the Commission foresees that the scope of so-called gatekeeper platforms will be between 10 and 15 companies — again, the lion’s share of these will be American.  The differences </w:t>
                              </w:r>
                              <w:r w:rsidRPr="00BE7FF6">
                                <w:rPr>
                                  <w:rFonts w:ascii="Helvetica" w:eastAsia="Times New Roman" w:hAnsi="Helvetica" w:cs="Helvetica"/>
                                  <w:color w:val="202020"/>
                                  <w:sz w:val="18"/>
                                  <w:szCs w:val="18"/>
                                  <w:lang w:eastAsia="it-IT"/>
                                </w:rPr>
                                <w:lastRenderedPageBreak/>
                                <w:t>in opinion on the scope of the DMA will require one eye on U.S. diplomatic relations. Despite President Joe Biden’s administration adopting more of a rigorous stance against Big Tech abuses, if Washington regards Brussels’ regulatory efforts against GAFAM and the like as unfairly targeting American companies, it won’t be afraid to speak out.</w:t>
                              </w:r>
                            </w:p>
                          </w:tc>
                        </w:tr>
                        <w:bookmarkEnd w:id="15"/>
                      </w:tbl>
                      <w:p w14:paraId="2C134D61"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0E391E3"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AF2798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ACD8CA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260BE725" w14:textId="77777777">
                                <w:tc>
                                  <w:tcPr>
                                    <w:tcW w:w="0" w:type="auto"/>
                                    <w:shd w:val="clear" w:color="auto" w:fill="4CAAD8"/>
                                    <w:tcMar>
                                      <w:top w:w="270" w:type="dxa"/>
                                      <w:left w:w="270" w:type="dxa"/>
                                      <w:bottom w:w="270" w:type="dxa"/>
                                      <w:right w:w="270" w:type="dxa"/>
                                    </w:tcMar>
                                    <w:hideMark/>
                                  </w:tcPr>
                                  <w:p w14:paraId="45609A4A"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bookmarkStart w:id="16" w:name="Piracy"/>
                                    <w:r w:rsidRPr="00BE7FF6">
                                      <w:rPr>
                                        <w:rFonts w:ascii="Arial" w:eastAsia="Times New Roman" w:hAnsi="Arial" w:cs="Arial"/>
                                        <w:color w:val="000000"/>
                                        <w:sz w:val="40"/>
                                        <w:szCs w:val="40"/>
                                        <w:lang w:eastAsia="it-IT"/>
                                      </w:rPr>
                                      <w:t>Territoriality</w:t>
                                    </w:r>
                                  </w:p>
                                </w:tc>
                              </w:tr>
                            </w:tbl>
                            <w:p w14:paraId="31AF3D40"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A9AAD2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32C21C2"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094B7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56C26D2" w14:textId="77777777">
                          <w:tc>
                            <w:tcPr>
                              <w:tcW w:w="0" w:type="auto"/>
                              <w:tcMar>
                                <w:top w:w="0" w:type="dxa"/>
                                <w:left w:w="270" w:type="dxa"/>
                                <w:bottom w:w="135" w:type="dxa"/>
                                <w:right w:w="270" w:type="dxa"/>
                              </w:tcMar>
                              <w:hideMark/>
                            </w:tcPr>
                            <w:p w14:paraId="1F17C56D"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bookmarkStart w:id="17" w:name="6.1"/>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5F61A74" wp14:editId="3D619ACC">
                                    <wp:simplePos x="0" y="0"/>
                                    <wp:positionH relativeFrom="column">
                                      <wp:align>left</wp:align>
                                    </wp:positionH>
                                    <wp:positionV relativeFrom="line">
                                      <wp:posOffset>0</wp:posOffset>
                                    </wp:positionV>
                                    <wp:extent cx="1609725" cy="1609725"/>
                                    <wp:effectExtent l="0" t="0" r="9525" b="9525"/>
                                    <wp:wrapSquare wrapText="bothSides"/>
                                    <wp:docPr id="16" name="Immagine 16" descr="Immagine che contiene ragnatela, oggetto 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ragnatela, oggetto da esterni&#10;&#10;Descrizione generata automa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Third Stakeholder Dialogue meeting: We need unbiased data, AV industry ask the Commission</w:t>
                              </w:r>
                              <w:r w:rsidRPr="00BE7FF6">
                                <w:rPr>
                                  <w:rFonts w:ascii="Helvetica" w:eastAsia="Times New Roman" w:hAnsi="Helvetica" w:cs="Helvetica"/>
                                  <w:color w:val="202020"/>
                                  <w:sz w:val="18"/>
                                  <w:szCs w:val="18"/>
                                  <w:lang w:eastAsia="it-IT"/>
                                </w:rPr>
                                <w:br/>
                                <w:t>On 10 December, CEPI attended the last 2021 meeting of the Stakeholder Dialogue. The meeting specifically focused on the following topics put forward by the European Commission:</w:t>
                              </w:r>
                            </w:p>
                            <w:p w14:paraId="6DFDB80B" w14:textId="77777777" w:rsidR="00BE7FF6" w:rsidRPr="00BE7FF6" w:rsidRDefault="00BE7FF6" w:rsidP="00BE7FF6">
                              <w:pPr>
                                <w:numPr>
                                  <w:ilvl w:val="0"/>
                                  <w:numId w:val="4"/>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i/>
                                  <w:iCs/>
                                  <w:color w:val="202020"/>
                                  <w:sz w:val="18"/>
                                  <w:szCs w:val="18"/>
                                  <w:lang w:eastAsia="it-IT"/>
                                </w:rPr>
                                <w:t>Are broadcasters across the EU ready to rely on the provisions of Directive (EU) 2019/789 (SatCab2 Directive) to make their television programmes covered by the country-of-origin principle (see article 3) available online across borders? If so, would they be willing to take commitments in this regard in the context of this dialogue?</w:t>
                              </w:r>
                            </w:p>
                            <w:p w14:paraId="398A68D8" w14:textId="77777777" w:rsidR="00BE7FF6" w:rsidRPr="00BE7FF6" w:rsidRDefault="00BE7FF6" w:rsidP="00BE7FF6">
                              <w:pPr>
                                <w:numPr>
                                  <w:ilvl w:val="0"/>
                                  <w:numId w:val="4"/>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i/>
                                  <w:iCs/>
                                  <w:color w:val="202020"/>
                                  <w:sz w:val="18"/>
                                  <w:szCs w:val="18"/>
                                  <w:lang w:eastAsia="it-IT"/>
                                </w:rPr>
                                <w:t>Would right holders and online audiovisual service providers (e.g. VOD services) be ready to explore industry-led solutions in order to ensure that EU consumers have access to audiovisual content or services offered in other Member States? If so, what are the concrete challenges that will have to be addressed to make this possible?</w:t>
                              </w:r>
                              <w:r w:rsidRPr="00BE7FF6">
                                <w:rPr>
                                  <w:rFonts w:ascii="Helvetica" w:eastAsia="Times New Roman" w:hAnsi="Helvetica" w:cs="Helvetica"/>
                                  <w:color w:val="202020"/>
                                  <w:sz w:val="18"/>
                                  <w:szCs w:val="18"/>
                                  <w:lang w:eastAsia="it-IT"/>
                                </w:rPr>
                                <w:t>     </w:t>
                              </w:r>
                            </w:p>
                            <w:p w14:paraId="0DE50136"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Provisions of the SatCab2 directive enable broadcasters to make available their (fully) owned content across border on their catch-up services.  has been already exploited by commercial and public television.  </w:t>
                              </w:r>
                              <w:r w:rsidRPr="00BE7FF6">
                                <w:rPr>
                                  <w:rFonts w:ascii="Helvetica" w:eastAsia="Times New Roman" w:hAnsi="Helvetica" w:cs="Helvetica"/>
                                  <w:color w:val="202020"/>
                                  <w:sz w:val="18"/>
                                  <w:szCs w:val="18"/>
                                  <w:lang w:eastAsia="it-IT"/>
                                </w:rPr>
                                <w:br/>
                                <w:t>Organisations representing broadcasters, who led the discussions, reminded the European Commission that this provision is already exploited by commercial and public television when economically viable. There is already a large variety of content on their services reaching targeted audiences not only at European but also global level. However, considering that the SatCab directive has only been implemented in 10 Member States so far, private broadcasters are not in a position to make commitments. Commercial broadcasters continued pointing out that making more content available in more territories would represent additional costs, as it would lead to increased remuneration for creators, with consequences on costs.</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 xml:space="preserve">The broad industry requested that the European Commission involve the European Audiovisual Observatory in this stakeholders dialogue in order to provide broader data than the one presented by the Commission during the 1st meeting of the Dialogue, which have been considered biased, as they did not take into account the totality of services available in Europe nor did they show the amount of content that </w:t>
                              </w:r>
                              <w:r w:rsidRPr="00BE7FF6">
                                <w:rPr>
                                  <w:rFonts w:ascii="Helvetica" w:eastAsia="Times New Roman" w:hAnsi="Helvetica" w:cs="Helvetica"/>
                                  <w:color w:val="202020"/>
                                  <w:sz w:val="18"/>
                                  <w:szCs w:val="18"/>
                                  <w:lang w:eastAsia="it-IT"/>
                                </w:rPr>
                                <w:lastRenderedPageBreak/>
                                <w:t>isn’t geo-blocked.</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commission reminded the stakeholders that Art3 (2) SatCab2 include guidance on the way Broadcasters can remunerate rightsholders when content is made available based on the country-of-origin principle hence, in order to avoid the risk for Broadcasters to have to clear the rights for 27 Member States. However, for the industry, this possibility is to be excluded as it would lead to revenue dumping for Producers and distributors, affecting the whole territoriality-based financing system.</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During the debate on the second question about accessibility, the industry rejected the possibility to allow VOD services’ offer to be accessible from another country. Even if BtoC solutions can be explored, the lack of understanding of the current situation in the market combined with the lack of data on online consumption and the commercial unavailability of platforms for B2C licensing make it impossible for the industry to commit in this direction. </w:t>
                              </w:r>
                              <w:r w:rsidRPr="00BE7FF6">
                                <w:rPr>
                                  <w:rFonts w:ascii="Helvetica" w:eastAsia="Times New Roman" w:hAnsi="Helvetica" w:cs="Helvetica"/>
                                  <w:b/>
                                  <w:bCs/>
                                  <w:color w:val="202020"/>
                                  <w:sz w:val="18"/>
                                  <w:szCs w:val="18"/>
                                  <w:lang w:eastAsia="it-IT"/>
                                </w:rPr>
                                <w:t>What is needed, insisted the industry, is an assessment of the application of the AVMS and SatCab2 directives (both text not yet transposed everywhere) and of the Portability regulation</w:t>
                              </w:r>
                              <w:r w:rsidRPr="00BE7FF6">
                                <w:rPr>
                                  <w:rFonts w:ascii="Helvetica" w:eastAsia="Times New Roman" w:hAnsi="Helvetica" w:cs="Helvetica"/>
                                  <w:color w:val="202020"/>
                                  <w:sz w:val="18"/>
                                  <w:szCs w:val="18"/>
                                  <w:lang w:eastAsia="it-IT"/>
                                </w:rPr>
                                <w:t>.</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r>
                              <w:hyperlink r:id="rId49" w:tgtFrame="_blank" w:history="1">
                                <w:r w:rsidRPr="00BE7FF6">
                                  <w:rPr>
                                    <w:rFonts w:ascii="Helvetica" w:eastAsia="Times New Roman" w:hAnsi="Helvetica" w:cs="Helvetica"/>
                                    <w:color w:val="007C89"/>
                                    <w:sz w:val="18"/>
                                    <w:szCs w:val="18"/>
                                    <w:u w:val="single"/>
                                    <w:lang w:eastAsia="it-IT"/>
                                  </w:rPr>
                                  <w:t>BEUC</w:t>
                                </w:r>
                              </w:hyperlink>
                              <w:r w:rsidRPr="00BE7FF6">
                                <w:rPr>
                                  <w:rFonts w:ascii="Helvetica" w:eastAsia="Times New Roman" w:hAnsi="Helvetica" w:cs="Helvetica"/>
                                  <w:color w:val="202020"/>
                                  <w:sz w:val="18"/>
                                  <w:szCs w:val="18"/>
                                  <w:lang w:eastAsia="it-IT"/>
                                </w:rPr>
                                <w:t>, the Consumers' representative invited to the stakeholder’s dialogue, major concern is related to the lack of services provided in specific territories. BEUC`s representative mentioned that consumers in certain territories do not have access to platforms available in some European territories (Paramount +, Disney +, HBO max or FilmIn). This point confirms our initial suspicion that the consumer’s request concerns the availability of services rather than content.</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As a conclusion, the industry continued supporting their points of view expressed in previous meetings: Defend territoriality, protect cultural diversity and its funding model and focus on </w:t>
                              </w:r>
                              <w:r w:rsidRPr="00BE7FF6">
                                <w:rPr>
                                  <w:rFonts w:ascii="Helvetica" w:eastAsia="Times New Roman" w:hAnsi="Helvetica" w:cs="Helvetica"/>
                                  <w:b/>
                                  <w:bCs/>
                                  <w:color w:val="202020"/>
                                  <w:sz w:val="18"/>
                                  <w:szCs w:val="18"/>
                                  <w:lang w:eastAsia="it-IT"/>
                                </w:rPr>
                                <w:t>Findability and promotion as the most efficient way to attract audiences IN-TERRITORY.</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b/>
                                  <w:bCs/>
                                  <w:color w:val="202020"/>
                                  <w:sz w:val="18"/>
                                  <w:szCs w:val="18"/>
                                  <w:lang w:eastAsia="it-IT"/>
                                </w:rPr>
                                <w:t>The next meeting will take place in January or February 2022 (date TBC by the Commission).</w:t>
                              </w:r>
                            </w:p>
                          </w:tc>
                        </w:tr>
                      </w:tbl>
                      <w:p w14:paraId="411A1497"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45370A0"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D2E74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42463AF"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797441D0" w14:textId="77777777">
                                <w:tc>
                                  <w:tcPr>
                                    <w:tcW w:w="0" w:type="auto"/>
                                    <w:shd w:val="clear" w:color="auto" w:fill="4CAAD8"/>
                                    <w:tcMar>
                                      <w:top w:w="270" w:type="dxa"/>
                                      <w:left w:w="270" w:type="dxa"/>
                                      <w:bottom w:w="270" w:type="dxa"/>
                                      <w:right w:w="270" w:type="dxa"/>
                                    </w:tcMar>
                                    <w:hideMark/>
                                  </w:tcPr>
                                  <w:p w14:paraId="10146506"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0"/>
                                        <w:szCs w:val="40"/>
                                        <w:lang w:eastAsia="it-IT"/>
                                      </w:rPr>
                                      <w:t>AVMSD</w:t>
                                    </w:r>
                                  </w:p>
                                </w:tc>
                              </w:tr>
                            </w:tbl>
                            <w:p w14:paraId="7C0DAFF6"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310F907"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A2C059E"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7CAC7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97AFB48" w14:textId="77777777">
                          <w:tc>
                            <w:tcPr>
                              <w:tcW w:w="0" w:type="auto"/>
                              <w:tcMar>
                                <w:top w:w="0" w:type="dxa"/>
                                <w:left w:w="270" w:type="dxa"/>
                                <w:bottom w:w="135" w:type="dxa"/>
                                <w:right w:w="270" w:type="dxa"/>
                              </w:tcMar>
                              <w:hideMark/>
                            </w:tcPr>
                            <w:p w14:paraId="75E05071"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47C68F6" wp14:editId="13D391F1">
                                    <wp:simplePos x="0" y="0"/>
                                    <wp:positionH relativeFrom="column">
                                      <wp:align>left</wp:align>
                                    </wp:positionH>
                                    <wp:positionV relativeFrom="line">
                                      <wp:posOffset>0</wp:posOffset>
                                    </wp:positionV>
                                    <wp:extent cx="1609725" cy="1609725"/>
                                    <wp:effectExtent l="0" t="0" r="9525" b="9525"/>
                                    <wp:wrapSquare wrapText="bothSides"/>
                                    <wp:docPr id="15" name="Immagine 15" descr="Immagine che contiene testo, pavimen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pavimento, interni&#10;&#10;Descrizione generata automa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New deal between the French audiovisual regulator and big streaming platforms</w:t>
                              </w:r>
                              <w:r w:rsidRPr="00BE7FF6">
                                <w:rPr>
                                  <w:rFonts w:ascii="Helvetica" w:eastAsia="Times New Roman" w:hAnsi="Helvetica" w:cs="Helvetica"/>
                                  <w:color w:val="202020"/>
                                  <w:sz w:val="18"/>
                                  <w:szCs w:val="18"/>
                                  <w:lang w:eastAsia="it-IT"/>
                                </w:rPr>
                                <w:br/>
                                <w:t>France has been one of the first EU countries in implementing the AVMS Directive. Now, an agreement regarding European and French content has been reached between its audiovisual regulator and the tech giants Netflix, Disney, Amazon and Apple.</w:t>
                              </w:r>
                              <w:r w:rsidRPr="00BE7FF6">
                                <w:rPr>
                                  <w:rFonts w:ascii="Helvetica" w:eastAsia="Times New Roman" w:hAnsi="Helvetica" w:cs="Helvetica"/>
                                  <w:color w:val="202020"/>
                                  <w:sz w:val="18"/>
                                  <w:szCs w:val="18"/>
                                  <w:lang w:eastAsia="it-IT"/>
                                </w:rPr>
                                <w:br/>
                                <w:t xml:space="preserve">According to the Superior Audiovisual Council (CSA), five additional </w:t>
                              </w:r>
                              <w:r w:rsidRPr="00BE7FF6">
                                <w:rPr>
                                  <w:rFonts w:ascii="Helvetica" w:eastAsia="Times New Roman" w:hAnsi="Helvetica" w:cs="Helvetica"/>
                                  <w:color w:val="202020"/>
                                  <w:sz w:val="18"/>
                                  <w:szCs w:val="18"/>
                                  <w:lang w:eastAsia="it-IT"/>
                                </w:rPr>
                                <w:lastRenderedPageBreak/>
                                <w:t>platforms will sign a similar deal with the French regulator next week. This summer, the French government issued a décret stating that video-streaming services will have to invest between 20 and 25 percent of their French annual turnover in European and French-language content, with 80% of this sum going to audiovisual production and 20% to film production.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new rules will apply to streaming services with an annual turnover of at least €5 million targeting French audiences. Under the current agreement, the four tech companies will invest 4 percent of their French annual turnover in cinema and 16 percent in audiovisual content, with Netflix having the highest spending obligations. The overall sum expected to be paid towards audiovisual and film production by Audiovisual Media Service Providers is €250 to €300m per year, according to the  calculations of the CSA.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Members of the French Society of Authors and Playwrights were disappointed that the signing platforms were only obliged to dedicate 75% of their investments to original French works – while all other operators have to invest 85% – and that minimum investment quotas were fixed, especially with regard to animation and documentaries.</w:t>
                              </w:r>
                            </w:p>
                          </w:tc>
                        </w:tr>
                      </w:tbl>
                      <w:p w14:paraId="3E06D94A"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95238E8"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B36E0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6F1D4E0" w14:textId="77777777">
                          <w:tc>
                            <w:tcPr>
                              <w:tcW w:w="0" w:type="auto"/>
                              <w:tcMar>
                                <w:top w:w="0" w:type="dxa"/>
                                <w:left w:w="270" w:type="dxa"/>
                                <w:bottom w:w="135" w:type="dxa"/>
                                <w:right w:w="270" w:type="dxa"/>
                              </w:tcMar>
                              <w:hideMark/>
                            </w:tcPr>
                            <w:p w14:paraId="525DE39D"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6928598" wp14:editId="2E1BF728">
                                    <wp:simplePos x="0" y="0"/>
                                    <wp:positionH relativeFrom="column">
                                      <wp:align>right</wp:align>
                                    </wp:positionH>
                                    <wp:positionV relativeFrom="line">
                                      <wp:posOffset>0</wp:posOffset>
                                    </wp:positionV>
                                    <wp:extent cx="1609725" cy="1609725"/>
                                    <wp:effectExtent l="0" t="0" r="9525" b="952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Arcom, the new French regulatory body that will replace CSA and Hadopi</w:t>
                              </w:r>
                              <w:r w:rsidRPr="00BE7FF6">
                                <w:rPr>
                                  <w:rFonts w:ascii="Helvetica" w:eastAsia="Times New Roman" w:hAnsi="Helvetica" w:cs="Helvetica"/>
                                  <w:color w:val="202020"/>
                                  <w:sz w:val="18"/>
                                  <w:szCs w:val="18"/>
                                  <w:lang w:eastAsia="it-IT"/>
                                </w:rPr>
                                <w:br/>
                                <w:t>The creation of the new Audiovisual and Digital Communication Regulatory Authority (Arcom) represents the biggest shake-up in French media regulation in 40 years.</w:t>
                              </w:r>
                              <w:r w:rsidRPr="00BE7FF6">
                                <w:rPr>
                                  <w:rFonts w:ascii="Helvetica" w:eastAsia="Times New Roman" w:hAnsi="Helvetica" w:cs="Helvetica"/>
                                  <w:color w:val="202020"/>
                                  <w:sz w:val="18"/>
                                  <w:szCs w:val="18"/>
                                  <w:lang w:eastAsia="it-IT"/>
                                </w:rPr>
                                <w:br/>
                                <w:t>This new regulatory body combines the former CSA and Hadopi into an integrated regulator with greater powers, particularly in content creation, from the setting of obligations to copyright protection and the fight against piracy. The Audiovisual Media Services Directive extends Arcom’s powers to overseas subscription video services, which allows the regulator to negotiate agreements with content platforms such as Netflix, Disney+, Amazon Prime and others. This will make the streamers contribute to French cinema, as it is already the case with the country’s TV channels. Arcom’s budget will be approximately €46 billion, very similarly to its two predecessors..</w:t>
                              </w:r>
                            </w:p>
                          </w:tc>
                        </w:tr>
                      </w:tbl>
                      <w:p w14:paraId="36808339"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346AA9C"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A19D81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DC99C5F"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66AD3B45" w14:textId="77777777">
                                <w:tc>
                                  <w:tcPr>
                                    <w:tcW w:w="0" w:type="auto"/>
                                    <w:shd w:val="clear" w:color="auto" w:fill="4CAAD8"/>
                                    <w:tcMar>
                                      <w:top w:w="270" w:type="dxa"/>
                                      <w:left w:w="270" w:type="dxa"/>
                                      <w:bottom w:w="270" w:type="dxa"/>
                                      <w:right w:w="270" w:type="dxa"/>
                                    </w:tcMar>
                                    <w:hideMark/>
                                  </w:tcPr>
                                  <w:p w14:paraId="490BD9BE"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0"/>
                                        <w:szCs w:val="40"/>
                                        <w:lang w:eastAsia="it-IT"/>
                                      </w:rPr>
                                      <w:t>Piracy</w:t>
                                    </w:r>
                                  </w:p>
                                </w:tc>
                              </w:tr>
                              <w:bookmarkEnd w:id="16"/>
                            </w:tbl>
                            <w:p w14:paraId="1EC7B078"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6A80CBDD"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C83DF64"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F6F66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A48A885" w14:textId="77777777">
                          <w:tc>
                            <w:tcPr>
                              <w:tcW w:w="0" w:type="auto"/>
                              <w:tcMar>
                                <w:top w:w="0" w:type="dxa"/>
                                <w:left w:w="270" w:type="dxa"/>
                                <w:bottom w:w="135" w:type="dxa"/>
                                <w:right w:w="270" w:type="dxa"/>
                              </w:tcMar>
                              <w:hideMark/>
                            </w:tcPr>
                            <w:p w14:paraId="6A1DF4E3"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01E57255" wp14:editId="5A5FCE37">
                                    <wp:simplePos x="0" y="0"/>
                                    <wp:positionH relativeFrom="column">
                                      <wp:align>left</wp:align>
                                    </wp:positionH>
                                    <wp:positionV relativeFrom="line">
                                      <wp:posOffset>0</wp:posOffset>
                                    </wp:positionV>
                                    <wp:extent cx="1609725" cy="1609725"/>
                                    <wp:effectExtent l="0" t="0" r="9525" b="952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EUIPO gets rewarded for its efforts to fight online piracy</w:t>
                              </w:r>
                              <w:r w:rsidRPr="00BE7FF6">
                                <w:rPr>
                                  <w:rFonts w:ascii="Helvetica" w:eastAsia="Times New Roman" w:hAnsi="Helvetica" w:cs="Helvetica"/>
                                  <w:color w:val="202020"/>
                                  <w:sz w:val="18"/>
                                  <w:szCs w:val="18"/>
                                  <w:lang w:eastAsia="it-IT"/>
                                </w:rPr>
                                <w:br/>
                                <w:t>The Audiovisual Anti-piracy Alliance (AAPA), formed by prominent media players such as  BT, Canal+, Fox Networks, Irdeto, La Liga, Premier League or Sky, has decided to award the EU Intellectual Property office (EUIPO) with 2021’s “Anti Piracy Award”.</w:t>
                              </w:r>
                              <w:r w:rsidRPr="00BE7FF6">
                                <w:rPr>
                                  <w:rFonts w:ascii="Helvetica" w:eastAsia="Times New Roman" w:hAnsi="Helvetica" w:cs="Helvetica"/>
                                  <w:color w:val="202020"/>
                                  <w:sz w:val="18"/>
                                  <w:szCs w:val="18"/>
                                  <w:lang w:eastAsia="it-IT"/>
                                </w:rPr>
                                <w:br/>
                                <w:t>To be more specific, the honors go to a team at the European Observatory on Infringements of Intellectual Property Rights, which is part of the EU Intellectual Property Office.</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Other awarded institutions in past editions included the Spanish Police’s anti-piracy unit and Italian law enforcement. This year’s decision to award the EUIPO because of its effort to pave the road for future enforcement mechanisms at the European and national level. The organisation helped get piracy reinstated as part of the European Multidisciplinary Platform Against Criminal Threats (EMPACT) and played a big role bringing stakeholders together. </w:t>
                              </w:r>
                            </w:p>
                          </w:tc>
                        </w:tr>
                        <w:bookmarkEnd w:id="17"/>
                      </w:tbl>
                      <w:p w14:paraId="7075BA0D"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FB67E9D"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A4096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B347342" w14:textId="77777777">
                          <w:tc>
                            <w:tcPr>
                              <w:tcW w:w="0" w:type="auto"/>
                              <w:tcMar>
                                <w:top w:w="0" w:type="dxa"/>
                                <w:left w:w="270" w:type="dxa"/>
                                <w:bottom w:w="135" w:type="dxa"/>
                                <w:right w:w="270" w:type="dxa"/>
                              </w:tcMar>
                              <w:hideMark/>
                            </w:tcPr>
                            <w:p w14:paraId="37240083"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876FBAF" wp14:editId="77A24209">
                                    <wp:simplePos x="0" y="0"/>
                                    <wp:positionH relativeFrom="column">
                                      <wp:align>right</wp:align>
                                    </wp:positionH>
                                    <wp:positionV relativeFrom="line">
                                      <wp:posOffset>0</wp:posOffset>
                                    </wp:positionV>
                                    <wp:extent cx="1609725" cy="1609725"/>
                                    <wp:effectExtent l="0" t="0" r="9525" b="9525"/>
                                    <wp:wrapSquare wrapText="bothSides"/>
                                    <wp:docPr id="12" name="Immagine 12" descr="Immagine che contiene testo, guan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guanti&#10;&#10;Descrizione generata automa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A victory against online piracy</w:t>
                              </w:r>
                              <w:bookmarkStart w:id="18" w:name="6.2"/>
                              <w:bookmarkEnd w:id="18"/>
                              <w:r w:rsidRPr="00BE7FF6">
                                <w:rPr>
                                  <w:rFonts w:ascii="Helvetica" w:eastAsia="Times New Roman" w:hAnsi="Helvetica" w:cs="Helvetica"/>
                                  <w:color w:val="202020"/>
                                  <w:sz w:val="18"/>
                                  <w:szCs w:val="18"/>
                                  <w:lang w:eastAsia="it-IT"/>
                                </w:rPr>
                                <w:br/>
                                <w:t>Several main Hollywood studios and Netflix have managed to achieve a High Court injunction to block 15 pirate streaming sites in the UK. This is an important step in the fight against repairing pirate sites due to the fact that the targeted domains accrue staggering levels of traffic.</w:t>
                              </w:r>
                              <w:r w:rsidRPr="00BE7FF6">
                                <w:rPr>
                                  <w:rFonts w:ascii="Helvetica" w:eastAsia="Times New Roman" w:hAnsi="Helvetica" w:cs="Helvetica"/>
                                  <w:color w:val="202020"/>
                                  <w:sz w:val="18"/>
                                  <w:szCs w:val="18"/>
                                  <w:lang w:eastAsia="it-IT"/>
                                </w:rPr>
                                <w:br/>
                                <w:t>The latest application targets 17 domains that operate the aforementioned 15 sites. None of the sites offer content but they aggregate links to pirated movies and TV shows hosted on third party providers. The names of the domains are as follows:  0123movies.net, 1-2-3movies.com, 123moviesfree.love, cmovies.ac / cmovies.online, flixhq.ru, fmovies.co, gototub.com, hurawatch.ru, sflix.to, soap2day.video, tvshows88.com, watchserieshd.ru, zoechip.com, 123movies.vu, 123-movies.gy, and onionplay.se.</w:t>
                              </w:r>
                            </w:p>
                          </w:tc>
                        </w:tr>
                      </w:tbl>
                      <w:p w14:paraId="2636AABB"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AD04E85"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8F8FC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F2D7C85" w14:textId="77777777">
                          <w:tc>
                            <w:tcPr>
                              <w:tcW w:w="0" w:type="auto"/>
                              <w:tcMar>
                                <w:top w:w="0" w:type="dxa"/>
                                <w:left w:w="270" w:type="dxa"/>
                                <w:bottom w:w="135" w:type="dxa"/>
                                <w:right w:w="270" w:type="dxa"/>
                              </w:tcMar>
                              <w:hideMark/>
                            </w:tcPr>
                            <w:p w14:paraId="64610C2C"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A global coalition of creators vs PrimeWire</w:t>
                              </w:r>
                              <w:bookmarkStart w:id="19" w:name="6.3"/>
                              <w:bookmarkEnd w:id="19"/>
                            </w:p>
                            <w:p w14:paraId="7A1CD53D"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An alliance has formed between several Hollywood studios, including Paramount, Universal, Warner, Columbia or Disney, and Netflix to support a new copyright infringement lawsuit against PrimeWire, one of the most prominent global pirate sites. The domain has already been blocked in the UK, Ireland, Norway, Denmark and Portugal, and the aforementioned industry leaders intend to include the United states in the list.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lawsuit includes three domains, PrimeWire.li, PrimeWire.ag and PrimeWire.vc, which offer  pirated content and generate revenues through the use of third party advertising networks such as Clickadu. The main focus of the lawsuit will be to prove that Primewire promotes illegal, unfair competition and infringes Copyright law all over the world.</w:t>
                              </w:r>
                            </w:p>
                          </w:tc>
                        </w:tr>
                      </w:tbl>
                      <w:p w14:paraId="4F0EE1CB"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301F061"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42C4DC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5C74F02" w14:textId="77777777">
                          <w:tc>
                            <w:tcPr>
                              <w:tcW w:w="0" w:type="auto"/>
                              <w:tcMar>
                                <w:top w:w="0" w:type="dxa"/>
                                <w:left w:w="270" w:type="dxa"/>
                                <w:bottom w:w="135" w:type="dxa"/>
                                <w:right w:w="270" w:type="dxa"/>
                              </w:tcMar>
                              <w:hideMark/>
                            </w:tcPr>
                            <w:p w14:paraId="0C6FA54A"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lastRenderedPageBreak/>
                                <w:t>Pirate site “Popcorn Time” shuts down due to lack of users</w:t>
                              </w:r>
                              <w:bookmarkStart w:id="20" w:name="6.4"/>
                              <w:bookmarkEnd w:id="20"/>
                            </w:p>
                            <w:p w14:paraId="3224B883"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Popcorn-Time.to, which once had Netflix CEO Reed Hastings worried, has decided to shut down. The team informs that a lack of use is the main reason behind this decision, which is likely the result of competition from other pirate tools. The software offered an easy-to-use interface to stream pirate movies and TV shows, all powered by BitTorrent.  The page was subject to plenty of legal threats, mostly from Hollywood, since Google searches for Popcorn Time began rivaling those for Netflix at some point.</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This triggered a wave of enforcement actions, including a lawsuit in the US, targeting the alleged operator of Popcorn-Time.to, but the case was eventually dismissed. However, legal issues didn’t play a role in the shutdown of the service. According to its team, “the world doesn’t need Popcorn Time anymore”. But this doesn’t mean that Netflix has successfully beaten online piracy, of course. Pirate streaming sites and devices remain a massive challenge, and Netflix content is still widely pirated on regular torrent sites as well.</w:t>
                              </w:r>
                            </w:p>
                          </w:tc>
                        </w:tr>
                      </w:tbl>
                      <w:p w14:paraId="0A2EDC44"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55350CA"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4A016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27144E1" w14:textId="77777777">
                          <w:tc>
                            <w:tcPr>
                              <w:tcW w:w="0" w:type="auto"/>
                              <w:tcMar>
                                <w:top w:w="0" w:type="dxa"/>
                                <w:left w:w="270" w:type="dxa"/>
                                <w:bottom w:w="135" w:type="dxa"/>
                                <w:right w:w="270" w:type="dxa"/>
                              </w:tcMar>
                              <w:hideMark/>
                            </w:tcPr>
                            <w:p w14:paraId="384F0ABC"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UPS! Google’s algorithm is recommending illegal sites for movie watching</w:t>
                              </w:r>
                              <w:bookmarkStart w:id="21" w:name="6.5"/>
                              <w:bookmarkEnd w:id="21"/>
                            </w:p>
                            <w:p w14:paraId="4B5B8E5C"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Google’s algorithms seem not to differentiate between legal and illegal sites in its search services. Among the most visible movie websites shown from a Google search are the infamous YTS and 123movies. The news comes as Google attempts to implement a wide variety of anti-piracy optimizations, like voluntarily removing the also infamous The Pirate Bay from its research results in some European countries.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Illegal websites also appear when searching for “free movie websites,” “free movie apps“, “best free movie download websites“, “websites to watch,” and several other related queries.</w:t>
                              </w:r>
                            </w:p>
                          </w:tc>
                        </w:tr>
                      </w:tbl>
                      <w:p w14:paraId="1E6C1CF8"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C8D4156"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FDE8ED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97013C3"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5AAFAEAE" w14:textId="77777777">
                                <w:tc>
                                  <w:tcPr>
                                    <w:tcW w:w="0" w:type="auto"/>
                                    <w:shd w:val="clear" w:color="auto" w:fill="4CAAD8"/>
                                    <w:tcMar>
                                      <w:top w:w="270" w:type="dxa"/>
                                      <w:left w:w="270" w:type="dxa"/>
                                      <w:bottom w:w="270" w:type="dxa"/>
                                      <w:right w:w="270" w:type="dxa"/>
                                    </w:tcMar>
                                    <w:hideMark/>
                                  </w:tcPr>
                                  <w:p w14:paraId="52106997"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5"/>
                                        <w:szCs w:val="45"/>
                                        <w:lang w:eastAsia="it-IT"/>
                                      </w:rPr>
                                      <w:t>AV platforms</w:t>
                                    </w:r>
                                    <w:bookmarkStart w:id="22" w:name="AV_platforms"/>
                                    <w:bookmarkEnd w:id="22"/>
                                  </w:p>
                                </w:tc>
                              </w:tr>
                            </w:tbl>
                            <w:p w14:paraId="20CD2779"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BB312A1"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819CA16"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B275E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BE50D5E" w14:textId="77777777">
                          <w:tc>
                            <w:tcPr>
                              <w:tcW w:w="0" w:type="auto"/>
                              <w:tcMar>
                                <w:top w:w="0" w:type="dxa"/>
                                <w:left w:w="270" w:type="dxa"/>
                                <w:bottom w:w="135" w:type="dxa"/>
                                <w:right w:w="270" w:type="dxa"/>
                              </w:tcMar>
                              <w:hideMark/>
                            </w:tcPr>
                            <w:p w14:paraId="306A5FAC"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6CC4ED4" wp14:editId="06F8E2BA">
                                    <wp:simplePos x="0" y="0"/>
                                    <wp:positionH relativeFrom="column">
                                      <wp:align>right</wp:align>
                                    </wp:positionH>
                                    <wp:positionV relativeFrom="line">
                                      <wp:posOffset>0</wp:posOffset>
                                    </wp:positionV>
                                    <wp:extent cx="1609725" cy="1609725"/>
                                    <wp:effectExtent l="0" t="0" r="9525" b="9525"/>
                                    <wp:wrapSquare wrapText="bothSides"/>
                                    <wp:docPr id="11" name="Immagine 11" descr="Immagine che contiene testo, edificio, t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edificio, tetto&#10;&#10;Descrizione generat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Canal + and France’s film Industry make peace to face American competition </w:t>
                              </w:r>
                              <w:bookmarkStart w:id="23" w:name="9.1"/>
                              <w:bookmarkEnd w:id="23"/>
                              <w:r w:rsidRPr="00BE7FF6">
                                <w:rPr>
                                  <w:rFonts w:ascii="Helvetica" w:eastAsia="Times New Roman" w:hAnsi="Helvetica" w:cs="Helvetica"/>
                                  <w:color w:val="202020"/>
                                  <w:sz w:val="18"/>
                                  <w:szCs w:val="18"/>
                                  <w:lang w:eastAsia="it-IT"/>
                                </w:rPr>
                                <w:br/>
                                <w:t>The French giant has completed a landmark deal that will make it commit to invest €600 million in film production over the next three years. In exchange, Canal plus will lose up the current strict theatrical windowing regime that has hurted the industry for the past years.</w:t>
                              </w:r>
                              <w:r w:rsidRPr="00BE7FF6">
                                <w:rPr>
                                  <w:rFonts w:ascii="Helvetica" w:eastAsia="Times New Roman" w:hAnsi="Helvetica" w:cs="Helvetica"/>
                                  <w:color w:val="202020"/>
                                  <w:sz w:val="18"/>
                                  <w:szCs w:val="18"/>
                                  <w:lang w:eastAsia="it-IT"/>
                                </w:rPr>
                                <w:br/>
                                <w:t>The conglomerate will provide an advanced window to ebing six months  after movies are released theatrically, with an exclusive window of at least nine months to distribute them and a second window of up to 16 months.</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 xml:space="preserve">The new arrangement will cement Canal + as the chief source of finance for the French film industry, and </w:t>
                              </w:r>
                              <w:r w:rsidRPr="00BE7FF6">
                                <w:rPr>
                                  <w:rFonts w:ascii="Helvetica" w:eastAsia="Times New Roman" w:hAnsi="Helvetica" w:cs="Helvetica"/>
                                  <w:color w:val="202020"/>
                                  <w:sz w:val="18"/>
                                  <w:szCs w:val="18"/>
                                  <w:lang w:eastAsia="it-IT"/>
                                </w:rPr>
                                <w:lastRenderedPageBreak/>
                                <w:t>will empower its brand as producer and provider of domestica and local content. In the meantime, Us streamers, the French gant’s biggest competitors, will be forced to help finance the same kind of content from next year onwards under the new  European Audiovisual Media Services directive.</w:t>
                              </w:r>
                            </w:p>
                          </w:tc>
                        </w:tr>
                      </w:tbl>
                      <w:p w14:paraId="1D3EBEB8"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053D8B0"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51602C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7E6E3DA" w14:textId="77777777">
                          <w:tc>
                            <w:tcPr>
                              <w:tcW w:w="0" w:type="auto"/>
                              <w:tcMar>
                                <w:top w:w="0" w:type="dxa"/>
                                <w:left w:w="270" w:type="dxa"/>
                                <w:bottom w:w="135" w:type="dxa"/>
                                <w:right w:w="270" w:type="dxa"/>
                              </w:tcMar>
                              <w:hideMark/>
                            </w:tcPr>
                            <w:p w14:paraId="2BAC753C"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51EA688" wp14:editId="53E76248">
                                    <wp:simplePos x="0" y="0"/>
                                    <wp:positionH relativeFrom="column">
                                      <wp:align>left</wp:align>
                                    </wp:positionH>
                                    <wp:positionV relativeFrom="line">
                                      <wp:posOffset>0</wp:posOffset>
                                    </wp:positionV>
                                    <wp:extent cx="1609725" cy="1609725"/>
                                    <wp:effectExtent l="0" t="0" r="9525" b="9525"/>
                                    <wp:wrapSquare wrapText="bothSides"/>
                                    <wp:docPr id="10" name="Immagine 10"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persona&#10;&#10;Descrizione generat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Is the SVod-led production growth bubble about to burst in Europe?</w:t>
                              </w:r>
                              <w:bookmarkStart w:id="24" w:name="9.2"/>
                              <w:bookmarkEnd w:id="24"/>
                              <w:r w:rsidRPr="00BE7FF6">
                                <w:rPr>
                                  <w:rFonts w:ascii="Helvetica" w:eastAsia="Times New Roman" w:hAnsi="Helvetica" w:cs="Helvetica"/>
                                  <w:color w:val="202020"/>
                                  <w:sz w:val="24"/>
                                  <w:szCs w:val="24"/>
                                  <w:lang w:eastAsia="it-IT"/>
                                </w:rPr>
                                <w:br/>
                              </w:r>
                              <w:r w:rsidRPr="00BE7FF6">
                                <w:rPr>
                                  <w:rFonts w:ascii="Helvetica" w:eastAsia="Times New Roman" w:hAnsi="Helvetica" w:cs="Helvetica"/>
                                  <w:color w:val="202020"/>
                                  <w:sz w:val="18"/>
                                  <w:szCs w:val="18"/>
                                  <w:lang w:eastAsia="it-IT"/>
                                </w:rPr>
                                <w:t>A December </w:t>
                              </w:r>
                              <w:hyperlink r:id="rId56" w:tgtFrame="_blank" w:history="1">
                                <w:r w:rsidRPr="00BE7FF6">
                                  <w:rPr>
                                    <w:rFonts w:ascii="Helvetica" w:eastAsia="Times New Roman" w:hAnsi="Helvetica" w:cs="Helvetica"/>
                                    <w:color w:val="007C89"/>
                                    <w:sz w:val="18"/>
                                    <w:szCs w:val="18"/>
                                    <w:u w:val="single"/>
                                    <w:lang w:eastAsia="it-IT"/>
                                  </w:rPr>
                                  <w:t>report</w:t>
                                </w:r>
                              </w:hyperlink>
                              <w:r w:rsidRPr="00BE7FF6">
                                <w:rPr>
                                  <w:rFonts w:ascii="Helvetica" w:eastAsia="Times New Roman" w:hAnsi="Helvetica" w:cs="Helvetica"/>
                                  <w:color w:val="202020"/>
                                  <w:sz w:val="18"/>
                                  <w:szCs w:val="18"/>
                                  <w:lang w:eastAsia="it-IT"/>
                                </w:rPr>
                                <w:t> by François Godard, Tom Harrington and Tom Standen-Jewell on SVoD-led production has predicted that the boom in content may not last as long as expected.</w:t>
                              </w:r>
                            </w:p>
                            <w:p w14:paraId="121A5977"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authors, working for  London-based research firm Enders Analysis, found that already in the second quarter of 2021, Netflix penetration in North American markets.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According to their findings, Europe is destined to follow similar trends due to the fact that “penetrations in the top EU markets, the UK and Scandinavia, are at US levels and growth has slowed down notably.” Netflix subscriber growth in the EMEA region for the year was already just above one-third of its rate duin the same period of 2019. Prices of subscription services are also expected to decline with “the independent production model expected to gain more traction with the streamers owing to the regulation and consolidation of producers.”</w:t>
                              </w:r>
                            </w:p>
                          </w:tc>
                        </w:tr>
                      </w:tbl>
                      <w:p w14:paraId="0FBFEFD3"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185A8C2"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147D6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D332B74" w14:textId="77777777">
                          <w:tc>
                            <w:tcPr>
                              <w:tcW w:w="0" w:type="auto"/>
                              <w:tcMar>
                                <w:top w:w="0" w:type="dxa"/>
                                <w:left w:w="270" w:type="dxa"/>
                                <w:bottom w:w="135" w:type="dxa"/>
                                <w:right w:w="270" w:type="dxa"/>
                              </w:tcMar>
                              <w:hideMark/>
                            </w:tcPr>
                            <w:p w14:paraId="2FA81EBA" w14:textId="77777777" w:rsidR="00BE7FF6" w:rsidRPr="00BE7FF6" w:rsidRDefault="00BE7FF6" w:rsidP="00BE7FF6">
                              <w:pPr>
                                <w:spacing w:before="150" w:after="150" w:line="360" w:lineRule="atLeast"/>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Great year for on-demand French content, now focused on US markets</w:t>
                              </w:r>
                              <w:bookmarkStart w:id="25" w:name="9.3"/>
                              <w:bookmarkEnd w:id="25"/>
                            </w:p>
                            <w:p w14:paraId="5FAF8FF9"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France has drawn more eyeballs worldwide in 2021 than it has in years, thanks to shows like Lupin and Emily in Paris, and to the success of directors like Julia Ducournau and Audrey Diwan. Now, a groundbreaking agreement with global streamers to invest up to €300 million in French content looks to continue that trend. Taking advantage of this, the government is encouraging French creatives and locations to conquer international markets, with a focus on the US. Following the massive investing scheme France 2030, Macron is looking to revitalize the country’s industrial sectors, including the film and audiovisual industries. France’s presidence of the Council of the EU during these first six months of 2022 will also give it the opportunity to embolden European culture with a new impulse.</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Stemming from that mandate is the initiative Villa Albertine, which hosts a US-wide residency for creatives ranging from filmmakers to architects. According to its director, Gaëtan Bruel, this initiative is ‘a formidable market and a launchpad for French creatives to shine around the world’. He also declared that it is ‘striking to see how French artists often need to make their marks in the US to be better acknowledged in France’. This project could be a game changer by giving French talent the opportunity to gain first-hand experience and knowledge in the US, as stated by Gagarine producer Julie Billy.</w:t>
                              </w:r>
                            </w:p>
                          </w:tc>
                        </w:tr>
                      </w:tbl>
                      <w:p w14:paraId="5F1705D6"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C0E4448"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6FEB9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0B0D593B" w14:textId="77777777">
                          <w:tc>
                            <w:tcPr>
                              <w:tcW w:w="0" w:type="auto"/>
                              <w:tcMar>
                                <w:top w:w="0" w:type="dxa"/>
                                <w:left w:w="270" w:type="dxa"/>
                                <w:bottom w:w="135" w:type="dxa"/>
                                <w:right w:w="270" w:type="dxa"/>
                              </w:tcMar>
                              <w:hideMark/>
                            </w:tcPr>
                            <w:p w14:paraId="1A5E3861"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lastRenderedPageBreak/>
                                <w:t>Netflix’s wise bet on non-English shows </w:t>
                              </w:r>
                              <w:bookmarkStart w:id="26" w:name="9.4"/>
                              <w:bookmarkEnd w:id="26"/>
                            </w:p>
                            <w:p w14:paraId="2BA599E3"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After years of investing in non-English language shows, Netflix has proved in 2021 that the future of TV is international. The streaming service has made shows in 40 different countries, subtitled series in 37 languages, and dubbed them in 34 languages. According to a </w:t>
                              </w:r>
                              <w:hyperlink r:id="rId57" w:tgtFrame="_blank" w:history="1">
                                <w:r w:rsidRPr="00BE7FF6">
                                  <w:rPr>
                                    <w:rFonts w:ascii="Helvetica" w:eastAsia="Times New Roman" w:hAnsi="Helvetica" w:cs="Helvetica"/>
                                    <w:color w:val="007C89"/>
                                    <w:sz w:val="18"/>
                                    <w:szCs w:val="18"/>
                                    <w:u w:val="single"/>
                                    <w:lang w:eastAsia="it-IT"/>
                                  </w:rPr>
                                  <w:t>USA Today article</w:t>
                                </w:r>
                              </w:hyperlink>
                              <w:r w:rsidRPr="00BE7FF6">
                                <w:rPr>
                                  <w:rFonts w:ascii="Helvetica" w:eastAsia="Times New Roman" w:hAnsi="Helvetica" w:cs="Helvetica"/>
                                  <w:color w:val="202020"/>
                                  <w:sz w:val="18"/>
                                  <w:szCs w:val="18"/>
                                  <w:lang w:eastAsia="it-IT"/>
                                </w:rPr>
                                <w:t>, since 2019 non-English language viewing has increased 71 percent in the United States. For Netflix, the great success of </w:t>
                              </w:r>
                              <w:r w:rsidRPr="00BE7FF6">
                                <w:rPr>
                                  <w:rFonts w:ascii="Helvetica" w:eastAsia="Times New Roman" w:hAnsi="Helvetica" w:cs="Helvetica"/>
                                  <w:i/>
                                  <w:iCs/>
                                  <w:color w:val="202020"/>
                                  <w:sz w:val="18"/>
                                  <w:szCs w:val="18"/>
                                  <w:lang w:eastAsia="it-IT"/>
                                </w:rPr>
                                <w:t>Narcos</w:t>
                              </w:r>
                              <w:r w:rsidRPr="00BE7FF6">
                                <w:rPr>
                                  <w:rFonts w:ascii="Helvetica" w:eastAsia="Times New Roman" w:hAnsi="Helvetica" w:cs="Helvetica"/>
                                  <w:color w:val="202020"/>
                                  <w:sz w:val="18"/>
                                  <w:szCs w:val="18"/>
                                  <w:lang w:eastAsia="it-IT"/>
                                </w:rPr>
                                <w:t> in 2015 was soon followed by other series: Spanish-language hits like </w:t>
                              </w:r>
                              <w:r w:rsidRPr="00BE7FF6">
                                <w:rPr>
                                  <w:rFonts w:ascii="Helvetica" w:eastAsia="Times New Roman" w:hAnsi="Helvetica" w:cs="Helvetica"/>
                                  <w:i/>
                                  <w:iCs/>
                                  <w:color w:val="202020"/>
                                  <w:sz w:val="18"/>
                                  <w:szCs w:val="18"/>
                                  <w:lang w:eastAsia="it-IT"/>
                                </w:rPr>
                                <w:t>Cable Girls</w:t>
                              </w:r>
                              <w:r w:rsidRPr="00BE7FF6">
                                <w:rPr>
                                  <w:rFonts w:ascii="Helvetica" w:eastAsia="Times New Roman" w:hAnsi="Helvetica" w:cs="Helvetica"/>
                                  <w:color w:val="202020"/>
                                  <w:sz w:val="18"/>
                                  <w:szCs w:val="18"/>
                                  <w:lang w:eastAsia="it-IT"/>
                                </w:rPr>
                                <w:t> and broader international productions like the Danish </w:t>
                              </w:r>
                              <w:r w:rsidRPr="00BE7FF6">
                                <w:rPr>
                                  <w:rFonts w:ascii="Helvetica" w:eastAsia="Times New Roman" w:hAnsi="Helvetica" w:cs="Helvetica"/>
                                  <w:i/>
                                  <w:iCs/>
                                  <w:color w:val="202020"/>
                                  <w:sz w:val="18"/>
                                  <w:szCs w:val="18"/>
                                  <w:lang w:eastAsia="it-IT"/>
                                </w:rPr>
                                <w:t>The Rain</w:t>
                              </w:r>
                              <w:r w:rsidRPr="00BE7FF6">
                                <w:rPr>
                                  <w:rFonts w:ascii="Helvetica" w:eastAsia="Times New Roman" w:hAnsi="Helvetica" w:cs="Helvetica"/>
                                  <w:color w:val="202020"/>
                                  <w:sz w:val="18"/>
                                  <w:szCs w:val="18"/>
                                  <w:lang w:eastAsia="it-IT"/>
                                </w:rPr>
                                <w:t> and the German </w:t>
                              </w:r>
                              <w:r w:rsidRPr="00BE7FF6">
                                <w:rPr>
                                  <w:rFonts w:ascii="Helvetica" w:eastAsia="Times New Roman" w:hAnsi="Helvetica" w:cs="Helvetica"/>
                                  <w:i/>
                                  <w:iCs/>
                                  <w:color w:val="202020"/>
                                  <w:sz w:val="18"/>
                                  <w:szCs w:val="18"/>
                                  <w:lang w:eastAsia="it-IT"/>
                                </w:rPr>
                                <w:t>Dark</w:t>
                              </w:r>
                              <w:r w:rsidRPr="00BE7FF6">
                                <w:rPr>
                                  <w:rFonts w:ascii="Helvetica" w:eastAsia="Times New Roman" w:hAnsi="Helvetica" w:cs="Helvetica"/>
                                  <w:color w:val="202020"/>
                                  <w:sz w:val="18"/>
                                  <w:szCs w:val="18"/>
                                  <w:lang w:eastAsia="it-IT"/>
                                </w:rPr>
                                <w:t>.</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In the beginning of 2021, the French </w:t>
                              </w:r>
                              <w:r w:rsidRPr="00BE7FF6">
                                <w:rPr>
                                  <w:rFonts w:ascii="Helvetica" w:eastAsia="Times New Roman" w:hAnsi="Helvetica" w:cs="Helvetica"/>
                                  <w:i/>
                                  <w:iCs/>
                                  <w:color w:val="202020"/>
                                  <w:sz w:val="18"/>
                                  <w:szCs w:val="18"/>
                                  <w:lang w:eastAsia="it-IT"/>
                                </w:rPr>
                                <w:t>Lupin</w:t>
                              </w:r>
                              <w:r w:rsidRPr="00BE7FF6">
                                <w:rPr>
                                  <w:rFonts w:ascii="Helvetica" w:eastAsia="Times New Roman" w:hAnsi="Helvetica" w:cs="Helvetica"/>
                                  <w:color w:val="202020"/>
                                  <w:sz w:val="18"/>
                                  <w:szCs w:val="18"/>
                                  <w:lang w:eastAsia="it-IT"/>
                                </w:rPr>
                                <w:t> was the most watched non-English language series on Netflix, followed by </w:t>
                              </w:r>
                              <w:r w:rsidRPr="00BE7FF6">
                                <w:rPr>
                                  <w:rFonts w:ascii="Helvetica" w:eastAsia="Times New Roman" w:hAnsi="Helvetica" w:cs="Helvetica"/>
                                  <w:i/>
                                  <w:iCs/>
                                  <w:color w:val="202020"/>
                                  <w:sz w:val="18"/>
                                  <w:szCs w:val="18"/>
                                  <w:lang w:eastAsia="it-IT"/>
                                </w:rPr>
                                <w:t>Who Killed Sara?</w:t>
                              </w:r>
                              <w:r w:rsidRPr="00BE7FF6">
                                <w:rPr>
                                  <w:rFonts w:ascii="Helvetica" w:eastAsia="Times New Roman" w:hAnsi="Helvetica" w:cs="Helvetica"/>
                                  <w:color w:val="202020"/>
                                  <w:sz w:val="18"/>
                                  <w:szCs w:val="18"/>
                                  <w:lang w:eastAsia="it-IT"/>
                                </w:rPr>
                                <w:t> and </w:t>
                              </w:r>
                              <w:r w:rsidRPr="00BE7FF6">
                                <w:rPr>
                                  <w:rFonts w:ascii="Helvetica" w:eastAsia="Times New Roman" w:hAnsi="Helvetica" w:cs="Helvetica"/>
                                  <w:i/>
                                  <w:iCs/>
                                  <w:color w:val="202020"/>
                                  <w:sz w:val="18"/>
                                  <w:szCs w:val="18"/>
                                  <w:lang w:eastAsia="it-IT"/>
                                </w:rPr>
                                <w:t>Squid Game</w:t>
                              </w:r>
                              <w:r w:rsidRPr="00BE7FF6">
                                <w:rPr>
                                  <w:rFonts w:ascii="Helvetica" w:eastAsia="Times New Roman" w:hAnsi="Helvetica" w:cs="Helvetica"/>
                                  <w:color w:val="202020"/>
                                  <w:sz w:val="18"/>
                                  <w:szCs w:val="18"/>
                                  <w:lang w:eastAsia="it-IT"/>
                                </w:rPr>
                                <w:t>, which soon became the most watched Netflix series of all time. Similarly, </w:t>
                              </w:r>
                              <w:r w:rsidRPr="00BE7FF6">
                                <w:rPr>
                                  <w:rFonts w:ascii="Helvetica" w:eastAsia="Times New Roman" w:hAnsi="Helvetica" w:cs="Helvetica"/>
                                  <w:i/>
                                  <w:iCs/>
                                  <w:color w:val="202020"/>
                                  <w:sz w:val="18"/>
                                  <w:szCs w:val="18"/>
                                  <w:lang w:eastAsia="it-IT"/>
                                </w:rPr>
                                <w:t>Money Heist</w:t>
                              </w:r>
                              <w:r w:rsidRPr="00BE7FF6">
                                <w:rPr>
                                  <w:rFonts w:ascii="Helvetica" w:eastAsia="Times New Roman" w:hAnsi="Helvetica" w:cs="Helvetica"/>
                                  <w:color w:val="202020"/>
                                  <w:sz w:val="18"/>
                                  <w:szCs w:val="18"/>
                                  <w:lang w:eastAsia="it-IT"/>
                                </w:rPr>
                                <w:t> became the most in-demand series worldwide in the month of September. These are just some examples of the success of international shows on the streaming platform. Six years ago, Netflix bet on series like </w:t>
                              </w:r>
                              <w:r w:rsidRPr="00BE7FF6">
                                <w:rPr>
                                  <w:rFonts w:ascii="Helvetica" w:eastAsia="Times New Roman" w:hAnsi="Helvetica" w:cs="Helvetica"/>
                                  <w:i/>
                                  <w:iCs/>
                                  <w:color w:val="202020"/>
                                  <w:sz w:val="18"/>
                                  <w:szCs w:val="18"/>
                                  <w:lang w:eastAsia="it-IT"/>
                                </w:rPr>
                                <w:t>Narcos</w:t>
                              </w:r>
                              <w:r w:rsidRPr="00BE7FF6">
                                <w:rPr>
                                  <w:rFonts w:ascii="Helvetica" w:eastAsia="Times New Roman" w:hAnsi="Helvetica" w:cs="Helvetica"/>
                                  <w:color w:val="202020"/>
                                  <w:sz w:val="18"/>
                                  <w:szCs w:val="18"/>
                                  <w:lang w:eastAsia="it-IT"/>
                                </w:rPr>
                                <w:t>, and now we’re seeing how that pays off in a way that rewards international television leaders for excellent storytelling.</w:t>
                              </w:r>
                            </w:p>
                          </w:tc>
                        </w:tr>
                      </w:tbl>
                      <w:p w14:paraId="1A24F604"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5126590"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12C8A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D237542" w14:textId="77777777">
                          <w:tc>
                            <w:tcPr>
                              <w:tcW w:w="0" w:type="auto"/>
                              <w:tcMar>
                                <w:top w:w="0" w:type="dxa"/>
                                <w:left w:w="270" w:type="dxa"/>
                                <w:bottom w:w="135" w:type="dxa"/>
                                <w:right w:w="270" w:type="dxa"/>
                              </w:tcMar>
                              <w:hideMark/>
                            </w:tcPr>
                            <w:p w14:paraId="6DCF0EF7"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New windowing and finance deal between French cinema and Canal+</w:t>
                              </w:r>
                              <w:bookmarkStart w:id="27" w:name="9.5"/>
                              <w:bookmarkEnd w:id="27"/>
                            </w:p>
                            <w:p w14:paraId="3B7E08C6"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Canal+ has made peace with the French film industry by signing a landmark deal. It will see the pay TV giant commit to invest €600 million in film production over the next three years in exchange for a loosening up of the current strict theatrical windowing regime. The movies will air on the Canal+ and Cine+ services. Canal+ will benefit from an advanced window beginning six months after theatrical releases, with an exclusive window of at least nine months to distribute them. It will thus remain the main source of finance of French films, its commitment being independent of the commercial performance of its channels and its number of subscribers.</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agreement comes at a time when US studios are increasingly keeping their movies for their own proprietary streaming services. US streamers will be forced to help finance local content creation from next year under France’s implementation of the European Audiovisual Media Services directive. Platforms such as Netflix are expected to be able to distribute films 15 months after their theatrical release.</w:t>
                              </w:r>
                            </w:p>
                          </w:tc>
                        </w:tr>
                      </w:tbl>
                      <w:p w14:paraId="0456634F"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4D45C78"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29468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3E7CAD2" w14:textId="77777777">
                          <w:tc>
                            <w:tcPr>
                              <w:tcW w:w="0" w:type="auto"/>
                              <w:tcMar>
                                <w:top w:w="0" w:type="dxa"/>
                                <w:left w:w="270" w:type="dxa"/>
                                <w:bottom w:w="135" w:type="dxa"/>
                                <w:right w:w="270" w:type="dxa"/>
                              </w:tcMar>
                              <w:hideMark/>
                            </w:tcPr>
                            <w:p w14:paraId="01EC2437"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BARB unveils new mechanism to measure SVOD and video-sharing content</w:t>
                              </w:r>
                              <w:bookmarkStart w:id="28" w:name="9.6"/>
                              <w:bookmarkEnd w:id="28"/>
                            </w:p>
                            <w:p w14:paraId="5B360EEF"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 xml:space="preserve">The British TV audience measurement outfit BARB has unveiled a significant upgrade in its audience reporting with the introduction of subscription video-on-demand and video-sharing platform measurement. The platform is now able to measure the reach and total time spent viewing of SVOD services such as Netflix, Disney+ and Amazon Prime Video. The same applies for video-sharing platforms like TikTok, Twitch and YouTube. In the same line, BARB has updated its definition of total television viewing to ‘Total identified viewing’, which is composed by three variables: total broadcast viewing of linear and BVOD services across </w:t>
                              </w:r>
                              <w:r w:rsidRPr="00BE7FF6">
                                <w:rPr>
                                  <w:rFonts w:ascii="Helvetica" w:eastAsia="Times New Roman" w:hAnsi="Helvetica" w:cs="Helvetica"/>
                                  <w:color w:val="202020"/>
                                  <w:sz w:val="18"/>
                                  <w:szCs w:val="18"/>
                                  <w:lang w:eastAsia="it-IT"/>
                                </w:rPr>
                                <w:lastRenderedPageBreak/>
                                <w:t>TV and other electronic devices; total SVOD/AVOD viewing through home WiFi networks; and total video-sharing viewings, measuring the likes of TikTok, Twitch and YouTube viewings across home WiFi networks. In October 2021, total identified viewing was 231 minutes per user.</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BARB also unveiled rankings of the most-watched programmes across all broadcast channels and streaming services for the same month. It showed Netflix’s </w:t>
                              </w:r>
                              <w:r w:rsidRPr="00BE7FF6">
                                <w:rPr>
                                  <w:rFonts w:ascii="Helvetica" w:eastAsia="Times New Roman" w:hAnsi="Helvetica" w:cs="Helvetica"/>
                                  <w:i/>
                                  <w:iCs/>
                                  <w:color w:val="202020"/>
                                  <w:sz w:val="18"/>
                                  <w:szCs w:val="18"/>
                                  <w:lang w:eastAsia="it-IT"/>
                                </w:rPr>
                                <w:t>Squid Game</w:t>
                              </w:r>
                              <w:r w:rsidRPr="00BE7FF6">
                                <w:rPr>
                                  <w:rFonts w:ascii="Helvetica" w:eastAsia="Times New Roman" w:hAnsi="Helvetica" w:cs="Helvetica"/>
                                  <w:color w:val="202020"/>
                                  <w:sz w:val="18"/>
                                  <w:szCs w:val="18"/>
                                  <w:lang w:eastAsia="it-IT"/>
                                </w:rPr>
                                <w:t> ranking in 10th place with 5.774 million viewers. However, the top three shows remained BBC 1’s </w:t>
                              </w:r>
                              <w:r w:rsidRPr="00BE7FF6">
                                <w:rPr>
                                  <w:rFonts w:ascii="Helvetica" w:eastAsia="Times New Roman" w:hAnsi="Helvetica" w:cs="Helvetica"/>
                                  <w:i/>
                                  <w:iCs/>
                                  <w:color w:val="202020"/>
                                  <w:sz w:val="18"/>
                                  <w:szCs w:val="18"/>
                                  <w:lang w:eastAsia="it-IT"/>
                                </w:rPr>
                                <w:t>Strictly</w:t>
                              </w:r>
                              <w:r w:rsidRPr="00BE7FF6">
                                <w:rPr>
                                  <w:rFonts w:ascii="Helvetica" w:eastAsia="Times New Roman" w:hAnsi="Helvetica" w:cs="Helvetica"/>
                                  <w:color w:val="202020"/>
                                  <w:sz w:val="18"/>
                                  <w:szCs w:val="18"/>
                                  <w:lang w:eastAsia="it-IT"/>
                                </w:rPr>
                                <w:t> </w:t>
                              </w:r>
                              <w:r w:rsidRPr="00BE7FF6">
                                <w:rPr>
                                  <w:rFonts w:ascii="Helvetica" w:eastAsia="Times New Roman" w:hAnsi="Helvetica" w:cs="Helvetica"/>
                                  <w:i/>
                                  <w:iCs/>
                                  <w:color w:val="202020"/>
                                  <w:sz w:val="18"/>
                                  <w:szCs w:val="18"/>
                                  <w:lang w:eastAsia="it-IT"/>
                                </w:rPr>
                                <w:t>Come Dancing</w:t>
                              </w:r>
                              <w:r w:rsidRPr="00BE7FF6">
                                <w:rPr>
                                  <w:rFonts w:ascii="Helvetica" w:eastAsia="Times New Roman" w:hAnsi="Helvetica" w:cs="Helvetica"/>
                                  <w:color w:val="202020"/>
                                  <w:sz w:val="18"/>
                                  <w:szCs w:val="18"/>
                                  <w:lang w:eastAsia="it-IT"/>
                                </w:rPr>
                                <w:t>, Channel 4’s </w:t>
                              </w:r>
                              <w:r w:rsidRPr="00BE7FF6">
                                <w:rPr>
                                  <w:rFonts w:ascii="Helvetica" w:eastAsia="Times New Roman" w:hAnsi="Helvetica" w:cs="Helvetica"/>
                                  <w:i/>
                                  <w:iCs/>
                                  <w:color w:val="202020"/>
                                  <w:sz w:val="18"/>
                                  <w:szCs w:val="18"/>
                                  <w:lang w:eastAsia="it-IT"/>
                                </w:rPr>
                                <w:t>The Great British Bake Off</w:t>
                              </w:r>
                              <w:r w:rsidRPr="00BE7FF6">
                                <w:rPr>
                                  <w:rFonts w:ascii="Helvetica" w:eastAsia="Times New Roman" w:hAnsi="Helvetica" w:cs="Helvetica"/>
                                  <w:color w:val="202020"/>
                                  <w:sz w:val="18"/>
                                  <w:szCs w:val="18"/>
                                  <w:lang w:eastAsia="it-IT"/>
                                </w:rPr>
                                <w:t> and ITV’s </w:t>
                              </w:r>
                              <w:r w:rsidRPr="00BE7FF6">
                                <w:rPr>
                                  <w:rFonts w:ascii="Helvetica" w:eastAsia="Times New Roman" w:hAnsi="Helvetica" w:cs="Helvetica"/>
                                  <w:i/>
                                  <w:iCs/>
                                  <w:color w:val="202020"/>
                                  <w:sz w:val="18"/>
                                  <w:szCs w:val="18"/>
                                  <w:lang w:eastAsia="it-IT"/>
                                </w:rPr>
                                <w:t>The Larkins.</w:t>
                              </w:r>
                            </w:p>
                          </w:tc>
                        </w:tr>
                      </w:tbl>
                      <w:p w14:paraId="2E5CA0DF"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28909E3"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05586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E3BDF9A" w14:textId="77777777">
                          <w:tc>
                            <w:tcPr>
                              <w:tcW w:w="0" w:type="auto"/>
                              <w:tcMar>
                                <w:top w:w="0" w:type="dxa"/>
                                <w:left w:w="270" w:type="dxa"/>
                                <w:bottom w:w="135" w:type="dxa"/>
                                <w:right w:w="270" w:type="dxa"/>
                              </w:tcMar>
                              <w:hideMark/>
                            </w:tcPr>
                            <w:p w14:paraId="5E4D0422"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bookmarkStart w:id="29" w:name="9.7"/>
                              <w:r w:rsidRPr="00BE7FF6">
                                <w:rPr>
                                  <w:rFonts w:ascii="Helvetica" w:eastAsia="Times New Roman" w:hAnsi="Helvetica" w:cs="Helvetica"/>
                                  <w:b/>
                                  <w:bCs/>
                                  <w:color w:val="202020"/>
                                  <w:sz w:val="20"/>
                                  <w:szCs w:val="20"/>
                                  <w:lang w:eastAsia="it-IT"/>
                                </w:rPr>
                                <w:t>Disney will up its 2022 budget to $33 billion</w:t>
                              </w:r>
                            </w:p>
                            <w:p w14:paraId="4BA46ECF"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Disney is increasing its content investment for 2022, upping its budget to $33 billion from the previous $25.3 billion. In comparison, Netflix will spend about $14 million on content this year. Disney states that it expects no significant disruptions to production due to COVID-19. Its CEO Bob Chapek told investors that the service needs to appeal to all age demographics. However, some executives are concerned about moving to non-family fare to a much more significant degree. Disney also reported that its Studios division plans to release about 50 films this next year, while its General Entertainment division seeks to produce or commission 60 unscripted series, 30 comedy series, 25 drama series, 15 limited or docu-series, 10 animated series and five made-for-television movies.</w:t>
                              </w:r>
                            </w:p>
                          </w:tc>
                        </w:tr>
                      </w:tbl>
                      <w:p w14:paraId="59FE0012"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6C114141"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4F462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62E6A7D" w14:textId="77777777">
                          <w:tc>
                            <w:tcPr>
                              <w:tcW w:w="0" w:type="auto"/>
                              <w:tcMar>
                                <w:top w:w="0" w:type="dxa"/>
                                <w:left w:w="270" w:type="dxa"/>
                                <w:bottom w:w="135" w:type="dxa"/>
                                <w:right w:w="270" w:type="dxa"/>
                              </w:tcMar>
                              <w:hideMark/>
                            </w:tcPr>
                            <w:p w14:paraId="6D014AC8"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Slovak streaming service Otta to close at the end of 2021</w:t>
                              </w:r>
                            </w:p>
                            <w:p w14:paraId="659EBFBC"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streaming service Otta, launched by Slovakia’s national transmission company Towercom in 2018, will close at the end of 2021. Apparently, the reason is the technical impracticability of the further provisions of the service. The service had only a few hundred subscribers. Towercom also operates a pay-DTT service named Plustelka. Users in Slovakia can already access several streaming services, including Netflix, Amazon Prime Video and Apple TV+. They will soon be joined by HBO Max, Disney+ and SkyShowtime.</w:t>
                              </w:r>
                            </w:p>
                          </w:tc>
                        </w:tr>
                      </w:tbl>
                      <w:p w14:paraId="0DB7F310"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E6F44F0"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AA673A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66C3F72" w14:textId="77777777">
                          <w:tc>
                            <w:tcPr>
                              <w:tcW w:w="0" w:type="auto"/>
                              <w:tcMar>
                                <w:top w:w="0" w:type="dxa"/>
                                <w:left w:w="270" w:type="dxa"/>
                                <w:bottom w:w="135" w:type="dxa"/>
                                <w:right w:w="270" w:type="dxa"/>
                              </w:tcMar>
                              <w:hideMark/>
                            </w:tcPr>
                            <w:p w14:paraId="5DB45DEA"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Spanish RTVE tax for streaming companies put on hold until 2023</w:t>
                              </w:r>
                            </w:p>
                            <w:p w14:paraId="6B83B2B8"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 xml:space="preserve">The plans to introduce a levy on the major streaming companies to help fund the Spanish public broadcaster RTVE have been put on hold until 2023. Under this proposal, pay-TV operators would pay 5% of their annual revenue originating in Spain to finance European Cinema, while a further 15% would go to RTVE. For now, international video platforms like Netflix, HBO and Amazon will not need to pay the tax, while the traditional players, including pay-TV operators, will need to. This delay seems due to a dispute with the Catalan authorities over a proposal to remove a requirement for 6% of films to be produced in the Catalan language. The tax is already controversial because of the exemption of telecom companies from 0.9% of the fee. </w:t>
                              </w:r>
                              <w:r w:rsidRPr="00BE7FF6">
                                <w:rPr>
                                  <w:rFonts w:ascii="Helvetica" w:eastAsia="Times New Roman" w:hAnsi="Helvetica" w:cs="Helvetica"/>
                                  <w:color w:val="202020"/>
                                  <w:sz w:val="18"/>
                                  <w:szCs w:val="18"/>
                                  <w:lang w:eastAsia="it-IT"/>
                                </w:rPr>
                                <w:lastRenderedPageBreak/>
                                <w:t>Companies like Telefónica, Orange and Vodafone have declared the controversial tax unconstitutional. Of the major players, only Netflix actually declares any income from Spain.</w:t>
                              </w:r>
                            </w:p>
                          </w:tc>
                        </w:tr>
                      </w:tbl>
                      <w:p w14:paraId="71CAC2F7"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EB03D5D"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04435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6D1A6AC" w14:textId="77777777">
                          <w:tc>
                            <w:tcPr>
                              <w:tcW w:w="0" w:type="auto"/>
                              <w:tcMar>
                                <w:top w:w="0" w:type="dxa"/>
                                <w:left w:w="270" w:type="dxa"/>
                                <w:bottom w:w="135" w:type="dxa"/>
                                <w:right w:w="270" w:type="dxa"/>
                              </w:tcMar>
                              <w:hideMark/>
                            </w:tcPr>
                            <w:p w14:paraId="3A2EF53F"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Nordic Industry Leaders discuss the future of the VoD industry</w:t>
                              </w:r>
                            </w:p>
                            <w:p w14:paraId="36835145"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During a seminar dubbed “Managing the VoD Explosion: Painful Challenge or Hidden Opportunity?”, organized by the media solutions firm </w:t>
                              </w:r>
                              <w:hyperlink r:id="rId58" w:tgtFrame="_blank" w:history="1">
                                <w:r w:rsidRPr="00BE7FF6">
                                  <w:rPr>
                                    <w:rFonts w:ascii="Helvetica" w:eastAsia="Times New Roman" w:hAnsi="Helvetica" w:cs="Helvetica"/>
                                    <w:color w:val="007C89"/>
                                    <w:sz w:val="18"/>
                                    <w:szCs w:val="18"/>
                                    <w:u w:val="single"/>
                                    <w:lang w:eastAsia="it-IT"/>
                                  </w:rPr>
                                  <w:t>NAGRA Kudelski</w:t>
                                </w:r>
                              </w:hyperlink>
                              <w:r w:rsidRPr="00BE7FF6">
                                <w:rPr>
                                  <w:rFonts w:ascii="Helvetica" w:eastAsia="Times New Roman" w:hAnsi="Helvetica" w:cs="Helvetica"/>
                                  <w:color w:val="202020"/>
                                  <w:sz w:val="18"/>
                                  <w:szCs w:val="18"/>
                                  <w:lang w:eastAsia="it-IT"/>
                                </w:rPr>
                                <w:t>, five key stakeholders from the European audiovisual industry discussed how the surge in VoD services could boost reach and revenue. Marie Nilsson, CEO and founder of research firm Mediavision AB offered her overarching insight into the Nordic market. She remarked that the Nordic’s highly digitised market was the main driver behind the early expansion of streaming services into the region. She also highlighted the importance of the pandemic for the growth of the market share of streaming services , while predicting a future golden era for co-productions of creativity based on the 24,000 unique titles that streaming services have developed in the Nordics.</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Svanhild Sørensen, CEO of Norsk Filmdistribusjon; Lars Henriksen, senior distribution manager at True Content Entertainment shared Nilsson’s excitement but reminded the audience about the difficulties to compete with launches organized by streaming giants. Nilsson continued by stating the on-going shift in the dominant content of the sector to entertainment, fatal programming, documentaries and local content. Adding to the later, Tom Jahr, general manager of NAGRA Dvnor remarked the increase of local and adapted content, coming not only from American giants but also from Spain, Korea and other smaller countries. All in all, the only thing all panelists agreed upon was the unpredictable nature of the sector, and the need for Nordic and European companies to adapt to the ever changing market context that surrounds it. </w:t>
                              </w:r>
                            </w:p>
                          </w:tc>
                        </w:tr>
                      </w:tbl>
                      <w:p w14:paraId="13F3EFD3"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3BB38DB"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537D9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09BC5F9" w14:textId="77777777">
                          <w:tc>
                            <w:tcPr>
                              <w:tcW w:w="0" w:type="auto"/>
                              <w:tcMar>
                                <w:top w:w="0" w:type="dxa"/>
                                <w:left w:w="270" w:type="dxa"/>
                                <w:bottom w:w="135" w:type="dxa"/>
                                <w:right w:w="270" w:type="dxa"/>
                              </w:tcMar>
                              <w:hideMark/>
                            </w:tcPr>
                            <w:p w14:paraId="6080FF46"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New OTT partnership in Ukraine to improve TV viewing analytics</w:t>
                              </w:r>
                            </w:p>
                            <w:p w14:paraId="4FCE18D7"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Ukraine’s Kyivstar TV and Big Data UA have now joined forces to improve TV viewing analytics in the OTT segment. The head of Kyivstar TV, Pavlo Rybak, explained that thanks to the analysis of watching TV channels through Kyivstar TV, Big Data data will become more accurate and market players will receive additional analysis of the popularity of TV products. According to past research by Big Data UA, the main users of online TV services in Ukraine are socially active and modern audiences – mainly couples under 45 with young children. As Serhiy Boyko, head of Big Data UA, declared, “increasing the research audience provides a clearer picture of the audience mood of all OTT users in Ukraine and adds territories that were previously unrepresented”. He also stated that he believes this partnership will benefit the development of the entire OTT segment in the country.</w:t>
                              </w:r>
                            </w:p>
                          </w:tc>
                        </w:tr>
                        <w:bookmarkEnd w:id="29"/>
                      </w:tbl>
                      <w:p w14:paraId="6306C170"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AA6A295"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27C4AA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ACA9F56"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7D33C800" w14:textId="77777777">
                                <w:tc>
                                  <w:tcPr>
                                    <w:tcW w:w="0" w:type="auto"/>
                                    <w:shd w:val="clear" w:color="auto" w:fill="4CAAD8"/>
                                    <w:tcMar>
                                      <w:top w:w="270" w:type="dxa"/>
                                      <w:left w:w="270" w:type="dxa"/>
                                      <w:bottom w:w="270" w:type="dxa"/>
                                      <w:right w:w="270" w:type="dxa"/>
                                    </w:tcMar>
                                    <w:hideMark/>
                                  </w:tcPr>
                                  <w:p w14:paraId="05B7F4B7"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0"/>
                                        <w:szCs w:val="40"/>
                                        <w:lang w:eastAsia="it-IT"/>
                                      </w:rPr>
                                      <w:lastRenderedPageBreak/>
                                      <w:t>Cinema &amp; TV</w:t>
                                    </w:r>
                                    <w:bookmarkStart w:id="30" w:name="Cinema_&amp;_TV"/>
                                    <w:bookmarkEnd w:id="30"/>
                                  </w:p>
                                </w:tc>
                              </w:tr>
                            </w:tbl>
                            <w:p w14:paraId="468C98B1"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6A4F625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54867C4"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4BD6794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5766C5B" w14:textId="77777777">
                          <w:tc>
                            <w:tcPr>
                              <w:tcW w:w="0" w:type="auto"/>
                              <w:tcMar>
                                <w:top w:w="0" w:type="dxa"/>
                                <w:left w:w="270" w:type="dxa"/>
                                <w:bottom w:w="135" w:type="dxa"/>
                                <w:right w:w="270" w:type="dxa"/>
                              </w:tcMar>
                              <w:hideMark/>
                            </w:tcPr>
                            <w:p w14:paraId="75C1C383"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EB24ACE" wp14:editId="48ECBB32">
                                    <wp:simplePos x="0" y="0"/>
                                    <wp:positionH relativeFrom="column">
                                      <wp:align>left</wp:align>
                                    </wp:positionH>
                                    <wp:positionV relativeFrom="line">
                                      <wp:posOffset>0</wp:posOffset>
                                    </wp:positionV>
                                    <wp:extent cx="1609725" cy="1609725"/>
                                    <wp:effectExtent l="0" t="0" r="9525" b="9525"/>
                                    <wp:wrapSquare wrapText="bothSides"/>
                                    <wp:docPr id="9" name="Immagine 9"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interni&#10;&#10;Descrizione generata automa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A1 Telekom Austria Group and BBC Studios consolidate their CEE partnership</w:t>
                              </w:r>
                              <w:bookmarkStart w:id="31" w:name="10.1"/>
                              <w:bookmarkEnd w:id="31"/>
                              <w:r w:rsidRPr="00BE7FF6">
                                <w:rPr>
                                  <w:rFonts w:ascii="Helvetica" w:eastAsia="Times New Roman" w:hAnsi="Helvetica" w:cs="Helvetica"/>
                                  <w:color w:val="202020"/>
                                  <w:sz w:val="24"/>
                                  <w:szCs w:val="24"/>
                                  <w:lang w:eastAsia="it-IT"/>
                                </w:rPr>
                                <w:br/>
                              </w:r>
                              <w:r w:rsidRPr="00BE7FF6">
                                <w:rPr>
                                  <w:rFonts w:ascii="Helvetica" w:eastAsia="Times New Roman" w:hAnsi="Helvetica" w:cs="Helvetica"/>
                                  <w:color w:val="202020"/>
                                  <w:sz w:val="18"/>
                                  <w:szCs w:val="18"/>
                                  <w:lang w:eastAsia="it-IT"/>
                                </w:rPr>
                                <w:t>The team of A1 Telekom Austria Group and BBC Studios will strengthen their collaboration, which will not only extend current distribution agreements for BBC Earth and BBC First channels on the A1-pay-TV platforms in the CEE region until 2025, but also forge a technical partnership.</w:t>
                              </w:r>
                              <w:r w:rsidRPr="00BE7FF6">
                                <w:rPr>
                                  <w:rFonts w:ascii="Helvetica" w:eastAsia="Times New Roman" w:hAnsi="Helvetica" w:cs="Helvetica"/>
                                  <w:color w:val="202020"/>
                                  <w:sz w:val="18"/>
                                  <w:szCs w:val="18"/>
                                  <w:lang w:eastAsia="it-IT"/>
                                </w:rPr>
                                <w:br/>
                                <w:t>A1 acts as a technical distribution and contribution partner of numerous TV channels in European, Asian and American markets, providing a variety of services. A1 Group’s Broadcasting division will now provide technical satellite services for BBC First, excluding Poland. The BBC Earth channel, previously available in Macedonia and Slovenia, will also be launched in Croatia. The agreement will also see and enhanced SVOD offering from BBC Studios on A1’s platforms.</w:t>
                              </w:r>
                            </w:p>
                          </w:tc>
                        </w:tr>
                      </w:tbl>
                      <w:p w14:paraId="4B27AAF6"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DF797CB"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C764E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4F82D15" w14:textId="77777777">
                          <w:tc>
                            <w:tcPr>
                              <w:tcW w:w="0" w:type="auto"/>
                              <w:tcMar>
                                <w:top w:w="0" w:type="dxa"/>
                                <w:left w:w="270" w:type="dxa"/>
                                <w:bottom w:w="135" w:type="dxa"/>
                                <w:right w:w="270" w:type="dxa"/>
                              </w:tcMar>
                              <w:hideMark/>
                            </w:tcPr>
                            <w:p w14:paraId="1E874261"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CD63878" wp14:editId="01411C21">
                                    <wp:simplePos x="0" y="0"/>
                                    <wp:positionH relativeFrom="column">
                                      <wp:align>right</wp:align>
                                    </wp:positionH>
                                    <wp:positionV relativeFrom="line">
                                      <wp:posOffset>0</wp:posOffset>
                                    </wp:positionV>
                                    <wp:extent cx="1609725" cy="1609725"/>
                                    <wp:effectExtent l="0" t="0" r="9525" b="9525"/>
                                    <wp:wrapSquare wrapText="bothSides"/>
                                    <wp:docPr id="8" name="Immagine 8" descr="Immagine che contiene testo, esterni,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esterni, edificio&#10;&#10;Descrizione generata automaticamen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Antitrust clearance granted to Discovery and WarnerMedia merger by the European Commission</w:t>
                              </w:r>
                              <w:bookmarkStart w:id="32" w:name="10.2"/>
                              <w:bookmarkEnd w:id="32"/>
                              <w:r w:rsidRPr="00BE7FF6">
                                <w:rPr>
                                  <w:rFonts w:ascii="Helvetica" w:eastAsia="Times New Roman" w:hAnsi="Helvetica" w:cs="Helvetica"/>
                                  <w:color w:val="202020"/>
                                  <w:sz w:val="24"/>
                                  <w:szCs w:val="24"/>
                                  <w:lang w:eastAsia="it-IT"/>
                                </w:rPr>
                                <w:br/>
                              </w:r>
                              <w:r w:rsidRPr="00BE7FF6">
                                <w:rPr>
                                  <w:rFonts w:ascii="Helvetica" w:eastAsia="Times New Roman" w:hAnsi="Helvetica" w:cs="Helvetica"/>
                                  <w:color w:val="202020"/>
                                  <w:sz w:val="18"/>
                                  <w:szCs w:val="18"/>
                                  <w:lang w:eastAsia="it-IT"/>
                                </w:rPr>
                                <w:t>In May 2021 it was revealed that AT&amp;T is spinning off WarnerMedia to combine it with Discovery, a transaction expected to close in mid-2022 pending regulatory approvals.</w:t>
                              </w:r>
                            </w:p>
                            <w:p w14:paraId="460A51FD"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This merger would combine WarnerMedia’s assets (HBO Max, Turner, Warner Bros) with Discovery’s cable channels. Under the planned WarnerMedia spin, it will receive $43 billion in cash to pay down debt. Now, the European Commission has granted antitrust clearance of the proposed acquisition, which according to Discovery’s president and CEO David Zaslav, is a key milestone toward completing the transaction with AT&amp;T. The European antitrust clearance is a relief to Discovery, as it faces a bigger hurdle in the US given the expressed antitrust concerns.</w:t>
                              </w:r>
                            </w:p>
                          </w:tc>
                        </w:tr>
                      </w:tbl>
                      <w:p w14:paraId="0FE62DC3"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1C0D56A"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03B71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473036E" w14:textId="77777777">
                          <w:tc>
                            <w:tcPr>
                              <w:tcW w:w="0" w:type="auto"/>
                              <w:tcMar>
                                <w:top w:w="0" w:type="dxa"/>
                                <w:left w:w="270" w:type="dxa"/>
                                <w:bottom w:w="135" w:type="dxa"/>
                                <w:right w:w="270" w:type="dxa"/>
                              </w:tcMar>
                              <w:hideMark/>
                            </w:tcPr>
                            <w:p w14:paraId="4DC8225E"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The Spanish cannot get enough TV</w:t>
                              </w:r>
                              <w:bookmarkStart w:id="33" w:name="10.3"/>
                              <w:bookmarkEnd w:id="33"/>
                            </w:p>
                            <w:p w14:paraId="11DB4858"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TV and radio revenues in Spain went beyond €1 billion during the second quarter of 2021, 24,4% more than in the same period during the previous year. Two main TV groups accounted for more than 80% of the revenues, half of the total revenues came from advertising and the final amount of €1,014.2 million excludes subsidies. DTT consumption continued to fall in contrast with a significant 24% increase of IPTV consumption.</w:t>
                              </w:r>
                            </w:p>
                          </w:tc>
                        </w:tr>
                      </w:tbl>
                      <w:p w14:paraId="6B5753EC"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36DFF48"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6A7A0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3821643" w14:textId="77777777">
                          <w:tc>
                            <w:tcPr>
                              <w:tcW w:w="0" w:type="auto"/>
                              <w:tcMar>
                                <w:top w:w="0" w:type="dxa"/>
                                <w:left w:w="270" w:type="dxa"/>
                                <w:bottom w:w="135" w:type="dxa"/>
                                <w:right w:w="270" w:type="dxa"/>
                              </w:tcMar>
                              <w:hideMark/>
                            </w:tcPr>
                            <w:p w14:paraId="3DE74007"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lastRenderedPageBreak/>
                                <w:t>A new French powerhouse to face American platforms</w:t>
                              </w:r>
                              <w:bookmarkStart w:id="34" w:name="10.4"/>
                              <w:bookmarkEnd w:id="34"/>
                            </w:p>
                            <w:p w14:paraId="6B902255"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French giants TF1 and M6 are planning to merge with an eye on competing with US companies like Netflix or Amazon Prime, spurring an intense debate in French political institutions about the legality of the deal. An opinion on the matter will be drafted by the French competition authority and the audiovisual regulatory authority soon. The French telecommunications company Free, has allegedly sent a message to the European Commission asking it to look into the matter, because the operation will have consequences beyond French markets.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If the merger operation succeeds, the new group would have 10 channels, amount to about a third of total French viewers and around 70% of the French television advertising market. The monopolistic nature of the future group has been justified on the grounds of pooling the industry’s resources to buy out content away from American streaming platforms. The government seems to support the project, as does the Superior Audiovisual Council, but the opinion of the French competition authority is more difficult to discern.</w:t>
                              </w:r>
                            </w:p>
                          </w:tc>
                        </w:tr>
                      </w:tbl>
                      <w:p w14:paraId="009CB3BA"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7C7A4C8"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526E8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558425E1" w14:textId="77777777">
                          <w:tc>
                            <w:tcPr>
                              <w:tcW w:w="0" w:type="auto"/>
                              <w:tcMar>
                                <w:top w:w="0" w:type="dxa"/>
                                <w:left w:w="270" w:type="dxa"/>
                                <w:bottom w:w="135" w:type="dxa"/>
                                <w:right w:w="270" w:type="dxa"/>
                              </w:tcMar>
                              <w:hideMark/>
                            </w:tcPr>
                            <w:p w14:paraId="0109644A"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bookmarkStart w:id="35" w:name="10.5"/>
                              <w:r w:rsidRPr="00BE7FF6">
                                <w:rPr>
                                  <w:rFonts w:ascii="Helvetica" w:eastAsia="Times New Roman" w:hAnsi="Helvetica" w:cs="Helvetica"/>
                                  <w:b/>
                                  <w:bCs/>
                                  <w:color w:val="202020"/>
                                  <w:sz w:val="20"/>
                                  <w:szCs w:val="20"/>
                                  <w:lang w:eastAsia="it-IT"/>
                                </w:rPr>
                                <w:t>The Future of TV is NextGen</w:t>
                              </w:r>
                            </w:p>
                            <w:p w14:paraId="60591B96"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TV stations cannot live and grow only from dependence on advertising and affiliate revenues anymore, but the sector may nonetheless be saved by NextGen TV. The new model promises digital media-like revenues from platforms potentially pulling in higher ad revenues, subscription fees and other sources of revenue from data services. In total Next Gen TV could generate an extra $5 billion in five years -- or maybe $10.7 billion worth of help by 2030, according to </w:t>
                              </w:r>
                              <w:hyperlink r:id="rId61" w:tgtFrame="_blank" w:history="1">
                                <w:r w:rsidRPr="00BE7FF6">
                                  <w:rPr>
                                    <w:rFonts w:ascii="Helvetica" w:eastAsia="Times New Roman" w:hAnsi="Helvetica" w:cs="Helvetica"/>
                                    <w:color w:val="007C89"/>
                                    <w:sz w:val="18"/>
                                    <w:szCs w:val="18"/>
                                    <w:u w:val="single"/>
                                    <w:lang w:eastAsia="it-IT"/>
                                  </w:rPr>
                                  <w:t>BIA</w:t>
                                </w:r>
                              </w:hyperlink>
                              <w:r w:rsidRPr="00BE7FF6">
                                <w:rPr>
                                  <w:rFonts w:ascii="Helvetica" w:eastAsia="Times New Roman" w:hAnsi="Helvetica" w:cs="Helvetica"/>
                                  <w:color w:val="202020"/>
                                  <w:sz w:val="18"/>
                                  <w:szCs w:val="18"/>
                                  <w:lang w:eastAsia="it-IT"/>
                                </w:rPr>
                                <w:t>, a specialized advisory firm.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They have predicted NextGen base revenue to become 22% of local station revenues by 2030. According to their predictions, the key for the continued growth of the sector is in selling “datacasting” services -- data information coming through TV stations' new technology standard. This, along with ver-rising, more record-setting political advertising revenues every other year, points to a bright future for the industry.</w:t>
                              </w:r>
                            </w:p>
                          </w:tc>
                        </w:tr>
                      </w:tbl>
                      <w:p w14:paraId="49AE0C9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0A3446D"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3A90B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17780D7D" w14:textId="77777777">
                          <w:tc>
                            <w:tcPr>
                              <w:tcW w:w="0" w:type="auto"/>
                              <w:tcMar>
                                <w:top w:w="0" w:type="dxa"/>
                                <w:left w:w="270" w:type="dxa"/>
                                <w:bottom w:w="135" w:type="dxa"/>
                                <w:right w:w="270" w:type="dxa"/>
                              </w:tcMar>
                              <w:hideMark/>
                            </w:tcPr>
                            <w:p w14:paraId="0284E3AA"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Connected TV reveals itself as a great platform for advertising due to viewership growth</w:t>
                              </w:r>
                            </w:p>
                            <w:p w14:paraId="3F1EB0F9"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connected TV (CTV) performance advertising platform tvScientific has published the </w:t>
                              </w:r>
                              <w:hyperlink r:id="rId62" w:tgtFrame="_blank" w:history="1">
                                <w:r w:rsidRPr="00BE7FF6">
                                  <w:rPr>
                                    <w:rFonts w:ascii="Helvetica" w:eastAsia="Times New Roman" w:hAnsi="Helvetica" w:cs="Helvetica"/>
                                    <w:color w:val="007C89"/>
                                    <w:sz w:val="18"/>
                                    <w:szCs w:val="18"/>
                                    <w:u w:val="single"/>
                                    <w:lang w:eastAsia="it-IT"/>
                                  </w:rPr>
                                  <w:t>report</w:t>
                                </w:r>
                              </w:hyperlink>
                              <w:r w:rsidRPr="00BE7FF6">
                                <w:rPr>
                                  <w:rFonts w:ascii="Helvetica" w:eastAsia="Times New Roman" w:hAnsi="Helvetica" w:cs="Helvetica"/>
                                  <w:color w:val="202020"/>
                                  <w:sz w:val="18"/>
                                  <w:szCs w:val="18"/>
                                  <w:lang w:eastAsia="it-IT"/>
                                </w:rPr>
                                <w:t> </w:t>
                              </w:r>
                              <w:r w:rsidRPr="00BE7FF6">
                                <w:rPr>
                                  <w:rFonts w:ascii="Helvetica" w:eastAsia="Times New Roman" w:hAnsi="Helvetica" w:cs="Helvetica"/>
                                  <w:i/>
                                  <w:iCs/>
                                  <w:color w:val="202020"/>
                                  <w:sz w:val="18"/>
                                  <w:szCs w:val="18"/>
                                  <w:lang w:eastAsia="it-IT"/>
                                </w:rPr>
                                <w:t>How CTV Advertising Powers The Performance TV Revolution</w:t>
                              </w:r>
                              <w:r w:rsidRPr="00BE7FF6">
                                <w:rPr>
                                  <w:rFonts w:ascii="Helvetica" w:eastAsia="Times New Roman" w:hAnsi="Helvetica" w:cs="Helvetica"/>
                                  <w:color w:val="202020"/>
                                  <w:sz w:val="18"/>
                                  <w:szCs w:val="18"/>
                                  <w:lang w:eastAsia="it-IT"/>
                                </w:rPr>
                                <w:t xml:space="preserve">, in which it analyzes first-party and consumer data to better understand how CTVs are powering the performance TV revolution and what it means for advertisers. The research proves that more than half of consumers watch video content from connected TVs, while brand recall on CTV advertising is at least 39% higher than social media and other ad digital channels. The report reveals that 57% say the primary way they watch television and video content is by streaming it digitally, compared with just a quarter who watch through cable or linear TV. Audiences claim that they find ads on TV or streaming less annoying than ads on social media or websites. The report also found that </w:t>
                              </w:r>
                              <w:r w:rsidRPr="00BE7FF6">
                                <w:rPr>
                                  <w:rFonts w:ascii="Helvetica" w:eastAsia="Times New Roman" w:hAnsi="Helvetica" w:cs="Helvetica"/>
                                  <w:color w:val="202020"/>
                                  <w:sz w:val="18"/>
                                  <w:szCs w:val="18"/>
                                  <w:lang w:eastAsia="it-IT"/>
                                </w:rPr>
                                <w:lastRenderedPageBreak/>
                                <w:t>more than half of consumers watched streaming video content just from their smart TV or CTV, which was more than all other digital viewing options combined.</w:t>
                              </w:r>
                            </w:p>
                          </w:tc>
                        </w:tr>
                      </w:tbl>
                      <w:p w14:paraId="73AA346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672C88EB"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55A50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4798BBC" w14:textId="77777777">
                          <w:tc>
                            <w:tcPr>
                              <w:tcW w:w="0" w:type="auto"/>
                              <w:tcMar>
                                <w:top w:w="0" w:type="dxa"/>
                                <w:left w:w="270" w:type="dxa"/>
                                <w:bottom w:w="135" w:type="dxa"/>
                                <w:right w:w="270" w:type="dxa"/>
                              </w:tcMar>
                              <w:hideMark/>
                            </w:tcPr>
                            <w:p w14:paraId="328D8CC4"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Cartoon Business hosts a panel to better handle animated co-productions</w:t>
                              </w:r>
                            </w:p>
                            <w:p w14:paraId="7B5E1C88"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Las Palmas de Gran Canaria-based Cartoon Business, which took place from the 8 to the 10 December, hosted a panel entitled “How To Stop Your First Co-Production Killing You and Your Studio”. Some speakers taking part in the discussion were Kristine M. I. Knudsen of Norway’s Den Siste Skilling and Germany’s Knudsen Pictures, and Philippe Alessandri of France’s Watch Next Media. Firstly, they talked about the mindset required to embark on a co-production journey, which they described as “generous, empathetic” and “humble but confident”. Knudsen mentioned how crucial it is to investigate other people’s experiences with the potential co-production partner. After approaching a potential partner and before signing a formal agreement, Knudsen advised to start a testing phase with the common goal to work on a concrete deliverable to see how things could be in prospect. Having signed the formal agreement, checking on the economic situation of the partners is fundamental too, according to both speakers.</w:t>
                              </w:r>
                            </w:p>
                          </w:tc>
                        </w:tr>
                      </w:tbl>
                      <w:p w14:paraId="25F28EBB"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4DBDE5C"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02471C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C925E6F" w14:textId="77777777">
                          <w:tc>
                            <w:tcPr>
                              <w:tcW w:w="0" w:type="auto"/>
                              <w:tcMar>
                                <w:top w:w="0" w:type="dxa"/>
                                <w:left w:w="270" w:type="dxa"/>
                                <w:bottom w:w="135" w:type="dxa"/>
                                <w:right w:w="270" w:type="dxa"/>
                              </w:tcMar>
                              <w:hideMark/>
                            </w:tcPr>
                            <w:p w14:paraId="11EE473E"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Canal Plus will continue to dominate French cinema</w:t>
                              </w:r>
                            </w:p>
                            <w:p w14:paraId="7D2FC480"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Canal Plus will invest $680 Million in French, European Films Through 2024 to renew its partnership with French Cinema, extending its already 30 years long historic partnership. The agreement was completed under the supervision of the French Ministry of CUlture with all cinema organizations, represented by BLIC, BLOC and ARP. It was a prerequisite for Canal + to sign the new media chronology , which will allow the group to offer its subscribers theatre-released films 6 months after their theatrical release. The agreement cements Canal Plus as the leader of the French AV industry, from the TV to cinema screens.</w:t>
                              </w:r>
                            </w:p>
                          </w:tc>
                        </w:tr>
                        <w:bookmarkEnd w:id="35"/>
                      </w:tbl>
                      <w:p w14:paraId="063D8C96"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D10C156"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33BC8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8CB383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5A3265CB" w14:textId="77777777">
                                <w:tc>
                                  <w:tcPr>
                                    <w:tcW w:w="0" w:type="auto"/>
                                    <w:shd w:val="clear" w:color="auto" w:fill="4CAAD8"/>
                                    <w:tcMar>
                                      <w:top w:w="270" w:type="dxa"/>
                                      <w:left w:w="270" w:type="dxa"/>
                                      <w:bottom w:w="270" w:type="dxa"/>
                                      <w:right w:w="270" w:type="dxa"/>
                                    </w:tcMar>
                                    <w:hideMark/>
                                  </w:tcPr>
                                  <w:p w14:paraId="06D5FC08"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5"/>
                                        <w:szCs w:val="45"/>
                                        <w:lang w:eastAsia="it-IT"/>
                                      </w:rPr>
                                      <w:t>Festivals</w:t>
                                    </w:r>
                                    <w:bookmarkStart w:id="36" w:name="Festivals"/>
                                    <w:bookmarkEnd w:id="36"/>
                                  </w:p>
                                </w:tc>
                              </w:tr>
                            </w:tbl>
                            <w:p w14:paraId="5A780100"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7376573"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78FE974"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A222E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216525C" w14:textId="77777777">
                          <w:tc>
                            <w:tcPr>
                              <w:tcW w:w="0" w:type="auto"/>
                              <w:tcMar>
                                <w:top w:w="0" w:type="dxa"/>
                                <w:left w:w="270" w:type="dxa"/>
                                <w:bottom w:w="135" w:type="dxa"/>
                                <w:right w:w="270" w:type="dxa"/>
                              </w:tcMar>
                              <w:hideMark/>
                            </w:tcPr>
                            <w:p w14:paraId="36FBB9DE"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9E0CADF" wp14:editId="7FD39F48">
                                    <wp:simplePos x="0" y="0"/>
                                    <wp:positionH relativeFrom="column">
                                      <wp:align>left</wp:align>
                                    </wp:positionH>
                                    <wp:positionV relativeFrom="line">
                                      <wp:posOffset>0</wp:posOffset>
                                    </wp:positionV>
                                    <wp:extent cx="1609725" cy="1609725"/>
                                    <wp:effectExtent l="0" t="0" r="9525" b="9525"/>
                                    <wp:wrapSquare wrapText="bothSides"/>
                                    <wp:docPr id="7" name="Immagine 7" descr="Immagine che contiene persona,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ersona, folla&#10;&#10;Descrizione generata automaticame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Dutch lockdown forces the International Film Festival of Rotterdam to take place online</w:t>
                              </w:r>
                              <w:bookmarkStart w:id="37" w:name="11.1"/>
                              <w:bookmarkEnd w:id="37"/>
                              <w:r w:rsidRPr="00BE7FF6">
                                <w:rPr>
                                  <w:rFonts w:ascii="Helvetica" w:eastAsia="Times New Roman" w:hAnsi="Helvetica" w:cs="Helvetica"/>
                                  <w:color w:val="202020"/>
                                  <w:sz w:val="18"/>
                                  <w:szCs w:val="18"/>
                                  <w:lang w:eastAsia="it-IT"/>
                                </w:rPr>
                                <w:br/>
                                <w:t>Due to a new Covid-19 lockdown in the Netherlands, the International Film Festival Rotterdam (IFFR) will be moved online in 2022 for the second consecutive year.</w:t>
                              </w:r>
                              <w:r w:rsidRPr="00BE7FF6">
                                <w:rPr>
                                  <w:rFonts w:ascii="Helvetica" w:eastAsia="Times New Roman" w:hAnsi="Helvetica" w:cs="Helvetica"/>
                                  <w:color w:val="202020"/>
                                  <w:sz w:val="18"/>
                                  <w:szCs w:val="18"/>
                                  <w:lang w:eastAsia="it-IT"/>
                                </w:rPr>
                                <w:br/>
                                <w:t>This decision has made it the first major European film festival to adopt the virtual format in 2022. The programme of this 51st edition will be available on </w:t>
                              </w:r>
                              <w:hyperlink r:id="rId64" w:tgtFrame="_blank" w:history="1">
                                <w:r w:rsidRPr="00BE7FF6">
                                  <w:rPr>
                                    <w:rFonts w:ascii="Helvetica" w:eastAsia="Times New Roman" w:hAnsi="Helvetica" w:cs="Helvetica"/>
                                    <w:color w:val="007C89"/>
                                    <w:sz w:val="18"/>
                                    <w:szCs w:val="18"/>
                                    <w:u w:val="single"/>
                                    <w:lang w:eastAsia="it-IT"/>
                                  </w:rPr>
                                  <w:t>IFFR.com</w:t>
                                </w:r>
                              </w:hyperlink>
                              <w:r w:rsidRPr="00BE7FF6">
                                <w:rPr>
                                  <w:rFonts w:ascii="Helvetica" w:eastAsia="Times New Roman" w:hAnsi="Helvetica" w:cs="Helvetica"/>
                                  <w:color w:val="202020"/>
                                  <w:sz w:val="18"/>
                                  <w:szCs w:val="18"/>
                                  <w:lang w:eastAsia="it-IT"/>
                                </w:rPr>
                                <w:t xml:space="preserve">. IFFR Pro industry events CineMart and Rotterdam Lab will also take place online. The festival has confirmed that, even in the case the current restrictions are lifted after the 14th of January, the sheer scale of the festival is no longer compatible with a last-minute transition </w:t>
                              </w:r>
                              <w:r w:rsidRPr="00BE7FF6">
                                <w:rPr>
                                  <w:rFonts w:ascii="Helvetica" w:eastAsia="Times New Roman" w:hAnsi="Helvetica" w:cs="Helvetica"/>
                                  <w:color w:val="202020"/>
                                  <w:sz w:val="18"/>
                                  <w:szCs w:val="18"/>
                                  <w:lang w:eastAsia="it-IT"/>
                                </w:rPr>
                                <w:lastRenderedPageBreak/>
                                <w:t>to an in-person event. Its education programmes will be adapted or postponed until later in the year to offer students access to IFFR-curated cinema.</w:t>
                              </w:r>
                            </w:p>
                          </w:tc>
                        </w:tr>
                      </w:tbl>
                      <w:p w14:paraId="5D62960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C67B1DE"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DCA24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29B7069" w14:textId="77777777">
                          <w:tc>
                            <w:tcPr>
                              <w:tcW w:w="0" w:type="auto"/>
                              <w:tcMar>
                                <w:top w:w="0" w:type="dxa"/>
                                <w:left w:w="270" w:type="dxa"/>
                                <w:bottom w:w="135" w:type="dxa"/>
                                <w:right w:w="270" w:type="dxa"/>
                              </w:tcMar>
                              <w:hideMark/>
                            </w:tcPr>
                            <w:p w14:paraId="311F8E1B"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4928364" wp14:editId="33C78572">
                                    <wp:simplePos x="0" y="0"/>
                                    <wp:positionH relativeFrom="column">
                                      <wp:align>right</wp:align>
                                    </wp:positionH>
                                    <wp:positionV relativeFrom="line">
                                      <wp:posOffset>0</wp:posOffset>
                                    </wp:positionV>
                                    <wp:extent cx="1609725" cy="1609725"/>
                                    <wp:effectExtent l="0" t="0" r="9525" b="9525"/>
                                    <wp:wrapSquare wrapText="bothSides"/>
                                    <wp:docPr id="6" name="Immagine 6" descr="Immagine che contiene testo, clipart,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clipart, segnale&#10;&#10;Descrizione generata automaticam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28th edition of the Slamdance Film Festival to take place in a hybrid format</w:t>
                              </w:r>
                              <w:bookmarkStart w:id="38" w:name="11.2"/>
                              <w:bookmarkEnd w:id="38"/>
                              <w:r w:rsidRPr="00BE7FF6">
                                <w:rPr>
                                  <w:rFonts w:ascii="Helvetica" w:eastAsia="Times New Roman" w:hAnsi="Helvetica" w:cs="Helvetica"/>
                                  <w:color w:val="202020"/>
                                  <w:sz w:val="18"/>
                                  <w:szCs w:val="18"/>
                                  <w:lang w:eastAsia="it-IT"/>
                                </w:rPr>
                                <w:br/>
                                <w:t>The 28th edition of the Slamdance Film Festival will return to Park City, Utah from 20-23 January 2022. It will take place in parallel with the Sundance Film Festival as a physical event, while also running as a virtual gathering until the 30 of January.</w:t>
                              </w:r>
                              <w:r w:rsidRPr="00BE7FF6">
                                <w:rPr>
                                  <w:rFonts w:ascii="Helvetica" w:eastAsia="Times New Roman" w:hAnsi="Helvetica" w:cs="Helvetica"/>
                                  <w:color w:val="202020"/>
                                  <w:sz w:val="18"/>
                                  <w:szCs w:val="18"/>
                                  <w:lang w:eastAsia="it-IT"/>
                                </w:rPr>
                                <w:br/>
                                <w:t>All competition films are directorial debuts without US distribution and with budgets of less than $1 million. Three strong debut features have been elected from the EU: Poland’s </w:t>
                              </w:r>
                              <w:r w:rsidRPr="00BE7FF6">
                                <w:rPr>
                                  <w:rFonts w:ascii="Helvetica" w:eastAsia="Times New Roman" w:hAnsi="Helvetica" w:cs="Helvetica"/>
                                  <w:i/>
                                  <w:iCs/>
                                  <w:color w:val="202020"/>
                                  <w:sz w:val="18"/>
                                  <w:szCs w:val="18"/>
                                  <w:lang w:eastAsia="it-IT"/>
                                </w:rPr>
                                <w:t>Love Tasting</w:t>
                              </w:r>
                              <w:r w:rsidRPr="00BE7FF6">
                                <w:rPr>
                                  <w:rFonts w:ascii="Helvetica" w:eastAsia="Times New Roman" w:hAnsi="Helvetica" w:cs="Helvetica"/>
                                  <w:color w:val="202020"/>
                                  <w:sz w:val="18"/>
                                  <w:szCs w:val="18"/>
                                  <w:lang w:eastAsia="it-IT"/>
                                </w:rPr>
                                <w:t> by Dawid Nickel, North Macedonia’s </w:t>
                              </w:r>
                              <w:r w:rsidRPr="00BE7FF6">
                                <w:rPr>
                                  <w:rFonts w:ascii="Helvetica" w:eastAsia="Times New Roman" w:hAnsi="Helvetica" w:cs="Helvetica"/>
                                  <w:i/>
                                  <w:iCs/>
                                  <w:color w:val="202020"/>
                                  <w:sz w:val="18"/>
                                  <w:szCs w:val="18"/>
                                  <w:lang w:eastAsia="it-IT"/>
                                </w:rPr>
                                <w:t>Snow White Dies</w:t>
                              </w:r>
                              <w:r w:rsidRPr="00BE7FF6">
                                <w:rPr>
                                  <w:rFonts w:ascii="Helvetica" w:eastAsia="Times New Roman" w:hAnsi="Helvetica" w:cs="Helvetica"/>
                                  <w:color w:val="202020"/>
                                  <w:sz w:val="18"/>
                                  <w:szCs w:val="18"/>
                                  <w:lang w:eastAsia="it-IT"/>
                                </w:rPr>
                                <w:t> by Kristijan Risteki, and the Spanish </w:t>
                              </w:r>
                              <w:r w:rsidRPr="00BE7FF6">
                                <w:rPr>
                                  <w:rFonts w:ascii="Helvetica" w:eastAsia="Times New Roman" w:hAnsi="Helvetica" w:cs="Helvetica"/>
                                  <w:i/>
                                  <w:iCs/>
                                  <w:color w:val="202020"/>
                                  <w:sz w:val="18"/>
                                  <w:szCs w:val="18"/>
                                  <w:lang w:eastAsia="it-IT"/>
                                </w:rPr>
                                <w:t>Ultrainnocence</w:t>
                              </w:r>
                              <w:r w:rsidRPr="00BE7FF6">
                                <w:rPr>
                                  <w:rFonts w:ascii="Helvetica" w:eastAsia="Times New Roman" w:hAnsi="Helvetica" w:cs="Helvetica"/>
                                  <w:color w:val="202020"/>
                                  <w:sz w:val="18"/>
                                  <w:szCs w:val="18"/>
                                  <w:lang w:eastAsia="it-IT"/>
                                </w:rPr>
                                <w:t> by Manuel Arija de la Cuerda. The innovative DIG section of the festival, a showcase of digital, interactive and gaming works, will present content from several European independent artists. Find out more about the hybrid Slamdance Film Festival 2022 here.</w:t>
                              </w:r>
                            </w:p>
                          </w:tc>
                        </w:tr>
                      </w:tbl>
                      <w:p w14:paraId="40343460"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3EEB576E"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26EF2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488E644A" w14:textId="77777777">
                          <w:tc>
                            <w:tcPr>
                              <w:tcW w:w="0" w:type="auto"/>
                              <w:tcMar>
                                <w:top w:w="0" w:type="dxa"/>
                                <w:left w:w="270" w:type="dxa"/>
                                <w:bottom w:w="135" w:type="dxa"/>
                                <w:right w:w="270" w:type="dxa"/>
                              </w:tcMar>
                              <w:hideMark/>
                            </w:tcPr>
                            <w:p w14:paraId="6585D9DF"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bookmarkStart w:id="39" w:name="11.3"/>
                              <w:r w:rsidRPr="00BE7FF6">
                                <w:rPr>
                                  <w:rFonts w:ascii="Helvetica" w:eastAsia="Times New Roman" w:hAnsi="Helvetica" w:cs="Helvetica"/>
                                  <w:b/>
                                  <w:bCs/>
                                  <w:color w:val="202020"/>
                                  <w:sz w:val="20"/>
                                  <w:szCs w:val="20"/>
                                  <w:lang w:eastAsia="it-IT"/>
                                </w:rPr>
                                <w:t>No stars or red carpet for the Golden Globes 2022 due to Hollywood boycott</w:t>
                              </w:r>
                            </w:p>
                            <w:p w14:paraId="5B0421B8"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On the eve of the 2021 Golden Globes, the LA Times ran an exposé accusing the organisation of a lack of diversity in its voting membership as well as “ethical lapses” in the way it conducted its business. These scandals have left the Golden Globes 22 without a network broadcaster or any celebrities willing to present or collect its awards after a Hollywood boycott. In March 2021, more than 100 public relation firms announced they would withdraw cooperation with the Globes, and high-profile Hollywood figures like Tom Cruise and Scarlett Johansson made stinging public criticisms. TV network NBC also cancelled its broadcast of the 2022 edition. Nevertheless, the Hollywood Foreign Press Association stated that the ceremony would go ahead on Sunday at the Beverly Hilton Hotel. No press will be allowed inside the ceremony, and no red carpet will take place.</w:t>
                              </w:r>
                            </w:p>
                          </w:tc>
                        </w:tr>
                      </w:tbl>
                      <w:p w14:paraId="19AA398F"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654C756B"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4D7D42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5AE7F37" w14:textId="77777777">
                          <w:tc>
                            <w:tcPr>
                              <w:tcW w:w="0" w:type="auto"/>
                              <w:tcMar>
                                <w:top w:w="0" w:type="dxa"/>
                                <w:left w:w="270" w:type="dxa"/>
                                <w:bottom w:w="135" w:type="dxa"/>
                                <w:right w:w="270" w:type="dxa"/>
                              </w:tcMar>
                              <w:hideMark/>
                            </w:tcPr>
                            <w:p w14:paraId="41416D00"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2022 edition of Cannes Lions emphasises the role of media in creativity</w:t>
                              </w:r>
                            </w:p>
                            <w:p w14:paraId="05FF7EC2"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The Cannes Lions International Festival of Creativity has announced key changes to its awards for 2022, including a reboot of the criteria for its Media Lions – “creative media ideas rather than pure creative ideas”. It also introduced a new Creative B2B Lion award. According to the festival’s jury president Daryl Lee, the festival now wants to emphasise the role media plays in creativity, recognizing how the scope and impact of media have broadened. The 2022 Cannes Lions will begin taking submissions January 20, and will present the finalists and winners during a live festival in June. Find more about the festival </w:t>
                              </w:r>
                              <w:hyperlink r:id="rId66" w:tgtFrame="_blank" w:history="1">
                                <w:r w:rsidRPr="00BE7FF6">
                                  <w:rPr>
                                    <w:rFonts w:ascii="Helvetica" w:eastAsia="Times New Roman" w:hAnsi="Helvetica" w:cs="Helvetica"/>
                                    <w:color w:val="007C89"/>
                                    <w:sz w:val="18"/>
                                    <w:szCs w:val="18"/>
                                    <w:u w:val="single"/>
                                    <w:lang w:eastAsia="it-IT"/>
                                  </w:rPr>
                                  <w:t>here</w:t>
                                </w:r>
                              </w:hyperlink>
                              <w:r w:rsidRPr="00BE7FF6">
                                <w:rPr>
                                  <w:rFonts w:ascii="Helvetica" w:eastAsia="Times New Roman" w:hAnsi="Helvetica" w:cs="Helvetica"/>
                                  <w:color w:val="202020"/>
                                  <w:sz w:val="18"/>
                                  <w:szCs w:val="18"/>
                                  <w:lang w:eastAsia="it-IT"/>
                                </w:rPr>
                                <w:t>.</w:t>
                              </w:r>
                            </w:p>
                          </w:tc>
                        </w:tr>
                      </w:tbl>
                      <w:p w14:paraId="0253374D"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95B54E6"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FEC55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402553F" w14:textId="77777777">
                          <w:tc>
                            <w:tcPr>
                              <w:tcW w:w="0" w:type="auto"/>
                              <w:tcMar>
                                <w:top w:w="0" w:type="dxa"/>
                                <w:left w:w="270" w:type="dxa"/>
                                <w:bottom w:w="135" w:type="dxa"/>
                                <w:right w:w="270" w:type="dxa"/>
                              </w:tcMar>
                              <w:hideMark/>
                            </w:tcPr>
                            <w:p w14:paraId="1FD4CF2D"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2021’s ANIMARKT puts stop motion in the spotlight</w:t>
                              </w:r>
                            </w:p>
                            <w:p w14:paraId="421CC019"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lastRenderedPageBreak/>
                                <w:t>The sixth edition of the ANIMARKT Stop Motion Forum kicked off on the 7th of December in a hybrid format. The schedule of the event is divided in three distinct sections: Masters, Pitching and Business. The event was organized by MOMAKIN, an organization specialized in stop -motion animation that supports projects at every step of production, from planning to distribution.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It lasted until the 11th of December and counted with the financial support of the International Visegrad Fund and the Polish Film Institute. The conference included speeches by Adam Jones, who worked for Coraline as well as members of production companies like Strange Beast, Passion Animation, Beast animation or Animoon Studio.</w:t>
                              </w:r>
                            </w:p>
                          </w:tc>
                        </w:tr>
                        <w:bookmarkEnd w:id="39"/>
                      </w:tbl>
                      <w:p w14:paraId="488D4DB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899FE46"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287FF8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EDE83B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2DADA8F2" w14:textId="77777777">
                                <w:tc>
                                  <w:tcPr>
                                    <w:tcW w:w="0" w:type="auto"/>
                                    <w:shd w:val="clear" w:color="auto" w:fill="4CAAD8"/>
                                    <w:tcMar>
                                      <w:top w:w="270" w:type="dxa"/>
                                      <w:left w:w="270" w:type="dxa"/>
                                      <w:bottom w:w="270" w:type="dxa"/>
                                      <w:right w:w="270" w:type="dxa"/>
                                    </w:tcMar>
                                    <w:hideMark/>
                                  </w:tcPr>
                                  <w:p w14:paraId="26BCA25E"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5"/>
                                        <w:szCs w:val="45"/>
                                        <w:lang w:eastAsia="it-IT"/>
                                      </w:rPr>
                                      <w:t>Recent studies</w:t>
                                    </w:r>
                                    <w:bookmarkStart w:id="40" w:name="recent_studies"/>
                                    <w:bookmarkEnd w:id="40"/>
                                  </w:p>
                                </w:tc>
                              </w:tr>
                            </w:tbl>
                            <w:p w14:paraId="7A37199D"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970AC20"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6627E7D"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66E3EF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005EF12" w14:textId="77777777">
                          <w:tc>
                            <w:tcPr>
                              <w:tcW w:w="0" w:type="auto"/>
                              <w:tcMar>
                                <w:top w:w="0" w:type="dxa"/>
                                <w:left w:w="270" w:type="dxa"/>
                                <w:bottom w:w="135" w:type="dxa"/>
                                <w:right w:w="270" w:type="dxa"/>
                              </w:tcMar>
                              <w:hideMark/>
                            </w:tcPr>
                            <w:p w14:paraId="5B9B4DD6"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8573278" wp14:editId="1437E716">
                                    <wp:simplePos x="0" y="0"/>
                                    <wp:positionH relativeFrom="column">
                                      <wp:align>left</wp:align>
                                    </wp:positionH>
                                    <wp:positionV relativeFrom="line">
                                      <wp:posOffset>0</wp:posOffset>
                                    </wp:positionV>
                                    <wp:extent cx="1609725" cy="1609725"/>
                                    <wp:effectExtent l="0" t="0" r="9525" b="9525"/>
                                    <wp:wrapSquare wrapText="bothSides"/>
                                    <wp:docPr id="5" name="Immagine 5" descr="Immagine che contiene persona, sedendo, uom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ersona, sedendo, uomo, interni&#10;&#10;Descrizione generata automaticamen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The Pre-pandemic European film industry was at the core of the continent’s economy</w:t>
                              </w:r>
                              <w:bookmarkStart w:id="41" w:name="12.1"/>
                              <w:bookmarkEnd w:id="41"/>
                              <w:r w:rsidRPr="00BE7FF6">
                                <w:rPr>
                                  <w:rFonts w:ascii="Helvetica" w:eastAsia="Times New Roman" w:hAnsi="Helvetica" w:cs="Helvetica"/>
                                  <w:color w:val="202020"/>
                                  <w:sz w:val="18"/>
                                  <w:szCs w:val="18"/>
                                  <w:lang w:eastAsia="it-IT"/>
                                </w:rPr>
                                <w:br/>
                                <w:t>According to a </w:t>
                              </w:r>
                              <w:hyperlink r:id="rId68" w:tgtFrame="_blank" w:history="1">
                                <w:r w:rsidRPr="00BE7FF6">
                                  <w:rPr>
                                    <w:rFonts w:ascii="Helvetica" w:eastAsia="Times New Roman" w:hAnsi="Helvetica" w:cs="Helvetica"/>
                                    <w:color w:val="007C89"/>
                                    <w:sz w:val="18"/>
                                    <w:szCs w:val="18"/>
                                    <w:u w:val="single"/>
                                    <w:lang w:eastAsia="it-IT"/>
                                  </w:rPr>
                                  <w:t>recent study</w:t>
                                </w:r>
                              </w:hyperlink>
                              <w:r w:rsidRPr="00BE7FF6">
                                <w:rPr>
                                  <w:rFonts w:ascii="Helvetica" w:eastAsia="Times New Roman" w:hAnsi="Helvetica" w:cs="Helvetica"/>
                                  <w:color w:val="202020"/>
                                  <w:sz w:val="18"/>
                                  <w:szCs w:val="18"/>
                                  <w:lang w:eastAsia="it-IT"/>
                                </w:rPr>
                                <w:t>, in 2018, 22% of the global film and audiovisual industry was located in Europe. The sector was worth €121.7 billion. In 2018, Europe was the 3rd largest film and audiovisual market in the world, just behind North American and the Asia Pacific region.</w:t>
                              </w:r>
                              <w:r w:rsidRPr="00BE7FF6">
                                <w:rPr>
                                  <w:rFonts w:ascii="Helvetica" w:eastAsia="Times New Roman" w:hAnsi="Helvetica" w:cs="Helvetica"/>
                                  <w:color w:val="202020"/>
                                  <w:sz w:val="18"/>
                                  <w:szCs w:val="18"/>
                                  <w:lang w:eastAsia="it-IT"/>
                                </w:rPr>
                                <w:br/>
                                <w:t>It contributed  €46.9 Billion to the European GDP, more than the aerospace and other heavy industries, and directly employed more than a million workers. It also represented more business units in Europe than the telecommunications sector and was mostly dominated by small and medium enterprises, with 77.6% of businesses structured around 0-to-1 employees. Not only that,but it also contributed significantly to the European exports account with films exported outside Europe providing 19% of the overall increase in turnover growth between 2013 and 2018. This shows that, before the pandemic hit the sector, the AV industries held firm. Between 2013 and 2018, the revenues growth in countries like Slovakia, Iceland and Portugal went beyond 10%, although the main players continued to be Germany, France and the UK, which accounted for 51% of the total turnover. It is only a matter of time and support, before the sector recovers its pre-pandemic health.</w:t>
                              </w:r>
                            </w:p>
                          </w:tc>
                        </w:tr>
                      </w:tbl>
                      <w:p w14:paraId="2EB167B2"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16FB6A3"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0D4FF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37793641" w14:textId="77777777">
                          <w:tc>
                            <w:tcPr>
                              <w:tcW w:w="0" w:type="auto"/>
                              <w:tcMar>
                                <w:top w:w="0" w:type="dxa"/>
                                <w:left w:w="270" w:type="dxa"/>
                                <w:bottom w:w="135" w:type="dxa"/>
                                <w:right w:w="270" w:type="dxa"/>
                              </w:tcMar>
                              <w:hideMark/>
                            </w:tcPr>
                            <w:p w14:paraId="45BE7AC8"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FA8E107" wp14:editId="4CCD9F8F">
                                    <wp:simplePos x="0" y="0"/>
                                    <wp:positionH relativeFrom="column">
                                      <wp:align>right</wp:align>
                                    </wp:positionH>
                                    <wp:positionV relativeFrom="line">
                                      <wp:posOffset>0</wp:posOffset>
                                    </wp:positionV>
                                    <wp:extent cx="1609725" cy="1609725"/>
                                    <wp:effectExtent l="0" t="0" r="9525" b="952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China leads global IP production in quantity, but not quality</w:t>
                              </w:r>
                              <w:bookmarkStart w:id="42" w:name="12.2"/>
                              <w:bookmarkEnd w:id="42"/>
                              <w:r w:rsidRPr="00BE7FF6">
                                <w:rPr>
                                  <w:rFonts w:ascii="Helvetica" w:eastAsia="Times New Roman" w:hAnsi="Helvetica" w:cs="Helvetica"/>
                                  <w:color w:val="202020"/>
                                  <w:sz w:val="24"/>
                                  <w:szCs w:val="24"/>
                                  <w:lang w:eastAsia="it-IT"/>
                                </w:rPr>
                                <w:br/>
                              </w:r>
                              <w:r w:rsidRPr="00BE7FF6">
                                <w:rPr>
                                  <w:rFonts w:ascii="Helvetica" w:eastAsia="Times New Roman" w:hAnsi="Helvetica" w:cs="Helvetica"/>
                                  <w:color w:val="202020"/>
                                  <w:sz w:val="18"/>
                                  <w:szCs w:val="18"/>
                                  <w:lang w:eastAsia="it-IT"/>
                                </w:rPr>
                                <w:t>Last November, the World Intellectual Property Organization (WIPO) released its yearly World Intellectual Property Indicators Report (WIPI), making an overview of global IP activity in 2020. It found that 2020 was a successful year for the protection of copyrights, with several main application volumes increasing since 2019.</w:t>
                              </w:r>
                              <w:r w:rsidRPr="00BE7FF6">
                                <w:rPr>
                                  <w:rFonts w:ascii="Helvetica" w:eastAsia="Times New Roman" w:hAnsi="Helvetica" w:cs="Helvetica"/>
                                  <w:color w:val="202020"/>
                                  <w:sz w:val="18"/>
                                  <w:szCs w:val="18"/>
                                  <w:lang w:eastAsia="it-IT"/>
                                </w:rPr>
                                <w:br/>
                                <w:t xml:space="preserve">According to Daren Tang, director general of the organization, the latter </w:t>
                              </w:r>
                              <w:r w:rsidRPr="00BE7FF6">
                                <w:rPr>
                                  <w:rFonts w:ascii="Helvetica" w:eastAsia="Times New Roman" w:hAnsi="Helvetica" w:cs="Helvetica"/>
                                  <w:color w:val="202020"/>
                                  <w:sz w:val="18"/>
                                  <w:szCs w:val="18"/>
                                  <w:lang w:eastAsia="it-IT"/>
                                </w:rPr>
                                <w:lastRenderedPageBreak/>
                                <w:t>figures point to an increase in the release of new products and services on the market despite the Covid pandemic.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boost in patent creation comes from China, which topped  the ranking of the total (resident and abroad) IP filing activity by origin in 2020 and is first in each category of IP applications worldwide. The results do not come as a surprise when considering China’s subsidies for patent applications and other government financial aids. However, the country is still fourth with regards to the quality of its applications. Beijing, though, is expected to work in this regard, it would not be surprising to see the Middle Kingdom top the chart in the coming decades.</w:t>
                              </w:r>
                            </w:p>
                          </w:tc>
                        </w:tr>
                      </w:tbl>
                      <w:p w14:paraId="40232F29"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6616A23"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AA016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07FAD42" w14:textId="77777777">
                          <w:tc>
                            <w:tcPr>
                              <w:tcW w:w="0" w:type="auto"/>
                              <w:tcMar>
                                <w:top w:w="0" w:type="dxa"/>
                                <w:left w:w="270" w:type="dxa"/>
                                <w:bottom w:w="135" w:type="dxa"/>
                                <w:right w:w="270" w:type="dxa"/>
                              </w:tcMar>
                              <w:hideMark/>
                            </w:tcPr>
                            <w:p w14:paraId="023195D6"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bookmarkStart w:id="43" w:name="12.3"/>
                              <w:r w:rsidRPr="00BE7FF6">
                                <w:rPr>
                                  <w:rFonts w:ascii="Helvetica" w:eastAsia="Times New Roman" w:hAnsi="Helvetica" w:cs="Helvetica"/>
                                  <w:b/>
                                  <w:bCs/>
                                  <w:color w:val="202020"/>
                                  <w:sz w:val="20"/>
                                  <w:szCs w:val="20"/>
                                  <w:lang w:eastAsia="it-IT"/>
                                </w:rPr>
                                <w:t>The Oscars take a hit, but investment makes up for it</w:t>
                              </w:r>
                            </w:p>
                            <w:p w14:paraId="434DF368"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Despite awards revenues taking a sharp hit after the last fiscal year, the finances of the US Academy of Motion Arts and Sciences managed to maintain its financial health thanks to a rebound in investment. Awards-related revenue declined 10.8 percent, due in part to the low ratings of the April 25 Oscar broadcast which fell by 56%.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In contrast, the Academy’s income from a $709.2 million investment portfolio rose almost 14-fold, to $70.3 million from $5.1 million. Coupled with only a slight increase in awards-related costs, the academy’s total assets grew by about 6,7%, despite the disappointing Award ceremony results. This was not enough to maintain member’s income, which also declined  to $3,979,000 from $4,073,800 a year earlier.</w:t>
                              </w:r>
                            </w:p>
                          </w:tc>
                        </w:tr>
                      </w:tbl>
                      <w:p w14:paraId="5D268A9A"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A92D7CB"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D29F1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AC876BE" w14:textId="77777777">
                          <w:tc>
                            <w:tcPr>
                              <w:tcW w:w="0" w:type="auto"/>
                              <w:tcMar>
                                <w:top w:w="0" w:type="dxa"/>
                                <w:left w:w="270" w:type="dxa"/>
                                <w:bottom w:w="135" w:type="dxa"/>
                                <w:right w:w="270" w:type="dxa"/>
                              </w:tcMar>
                              <w:hideMark/>
                            </w:tcPr>
                            <w:p w14:paraId="4E6D64A1"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European Animation works maintain a strong presence in Europe’s TV industry</w:t>
                              </w:r>
                            </w:p>
                            <w:p w14:paraId="55BA652E"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A new </w:t>
                              </w:r>
                              <w:hyperlink r:id="rId70" w:tgtFrame="_blank" w:history="1">
                                <w:r w:rsidRPr="00BE7FF6">
                                  <w:rPr>
                                    <w:rFonts w:ascii="Helvetica" w:eastAsia="Times New Roman" w:hAnsi="Helvetica" w:cs="Helvetica"/>
                                    <w:color w:val="007C89"/>
                                    <w:sz w:val="18"/>
                                    <w:szCs w:val="18"/>
                                    <w:u w:val="single"/>
                                    <w:lang w:eastAsia="it-IT"/>
                                  </w:rPr>
                                  <w:t>report</w:t>
                                </w:r>
                              </w:hyperlink>
                              <w:r w:rsidRPr="00BE7FF6">
                                <w:rPr>
                                  <w:rFonts w:ascii="Helvetica" w:eastAsia="Times New Roman" w:hAnsi="Helvetica" w:cs="Helvetica"/>
                                  <w:color w:val="202020"/>
                                  <w:sz w:val="18"/>
                                  <w:szCs w:val="18"/>
                                  <w:lang w:eastAsia="it-IT"/>
                                </w:rPr>
                                <w:t> by the European Audiovisual Observatory found that European companies still produced around 55 animation films and 830 hours of animation TV content each year, despite Covid’s detrimental effect on the industry. 37% of the content was born out of productions and ⅔  were exported outside the production country, despite having a comparably low market share in the overall cinema admission in Europe (16%). </w:t>
                              </w:r>
                              <w:r w:rsidRPr="00BE7FF6">
                                <w:rPr>
                                  <w:rFonts w:ascii="Helvetica" w:eastAsia="Times New Roman" w:hAnsi="Helvetica" w:cs="Helvetica"/>
                                  <w:color w:val="202020"/>
                                  <w:sz w:val="18"/>
                                  <w:szCs w:val="18"/>
                                  <w:lang w:eastAsia="it-IT"/>
                                </w:rPr>
                                <w:br/>
                                <w:t>The annual volume of production of TV animation in the continent continued to be around 220 titles, mostly produced in France and the UK, that found significant  success in SVOD services. However, the share of European works in the global animation production is still significantly lower (21%) than the average for all categories of work (33%).</w:t>
                              </w:r>
                            </w:p>
                          </w:tc>
                        </w:tr>
                      </w:tbl>
                      <w:p w14:paraId="2780397B"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D18648F"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57E3F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55E00E5C" w14:textId="77777777">
                          <w:tc>
                            <w:tcPr>
                              <w:tcW w:w="0" w:type="auto"/>
                              <w:tcMar>
                                <w:top w:w="0" w:type="dxa"/>
                                <w:left w:w="270" w:type="dxa"/>
                                <w:bottom w:w="135" w:type="dxa"/>
                                <w:right w:w="270" w:type="dxa"/>
                              </w:tcMar>
                              <w:hideMark/>
                            </w:tcPr>
                            <w:p w14:paraId="3BD6B32B"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The most complete report of online copyright infringement in the EU during 2021</w:t>
                              </w:r>
                            </w:p>
                            <w:p w14:paraId="36A43DB5"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A new </w:t>
                              </w:r>
                              <w:hyperlink r:id="rId71" w:tgtFrame="_blank" w:history="1">
                                <w:r w:rsidRPr="00BE7FF6">
                                  <w:rPr>
                                    <w:rFonts w:ascii="Helvetica" w:eastAsia="Times New Roman" w:hAnsi="Helvetica" w:cs="Helvetica"/>
                                    <w:color w:val="007C89"/>
                                    <w:sz w:val="18"/>
                                    <w:szCs w:val="18"/>
                                    <w:u w:val="single"/>
                                    <w:lang w:eastAsia="it-IT"/>
                                  </w:rPr>
                                  <w:t>report</w:t>
                                </w:r>
                              </w:hyperlink>
                              <w:r w:rsidRPr="00BE7FF6">
                                <w:rPr>
                                  <w:rFonts w:ascii="Helvetica" w:eastAsia="Times New Roman" w:hAnsi="Helvetica" w:cs="Helvetica"/>
                                  <w:color w:val="202020"/>
                                  <w:sz w:val="18"/>
                                  <w:szCs w:val="18"/>
                                  <w:lang w:eastAsia="it-IT"/>
                                </w:rPr>
                                <w:t xml:space="preserve"> on the state of online copyright infringement in the EU found that between 2017 and 2020, the access to pirated content on the web was cut in half. Most of the decline happened in the music sector, with film and TV experiencing softer reductions. According to the European Union Intellectual Property Office, authors of the report, the impact of COvid 19 was only felt during the spring of 2020, when film piracy </w:t>
                              </w:r>
                              <w:r w:rsidRPr="00BE7FF6">
                                <w:rPr>
                                  <w:rFonts w:ascii="Helvetica" w:eastAsia="Times New Roman" w:hAnsi="Helvetica" w:cs="Helvetica"/>
                                  <w:color w:val="202020"/>
                                  <w:sz w:val="18"/>
                                  <w:szCs w:val="18"/>
                                  <w:lang w:eastAsia="it-IT"/>
                                </w:rPr>
                                <w:lastRenderedPageBreak/>
                                <w:t>increased to later return to normal levels during the summer. Most importantly, the authors of the study concluded that income inequality, access to legal offers and the acknowledgement of such offers were the main drivers explaining the persistence of online piracy in each country.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report examined the consumption of pirated content in the 27 EU countries and the UK. It covered TV programmes, music and film and used a variety of desktop and mobile access methods, from the classic downloading torrents to new streaming services. It covered a 48 month period  from January 2017 to December 2020.</w:t>
                              </w:r>
                            </w:p>
                          </w:tc>
                        </w:tr>
                      </w:tbl>
                      <w:p w14:paraId="0F93D5D0"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76011D2"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4A0E68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3E73F62" w14:textId="77777777">
                          <w:tc>
                            <w:tcPr>
                              <w:tcW w:w="0" w:type="auto"/>
                              <w:tcMar>
                                <w:top w:w="0" w:type="dxa"/>
                                <w:left w:w="270" w:type="dxa"/>
                                <w:bottom w:w="135" w:type="dxa"/>
                                <w:right w:w="270" w:type="dxa"/>
                              </w:tcMar>
                              <w:hideMark/>
                            </w:tcPr>
                            <w:p w14:paraId="4B988F2A"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0"/>
                                  <w:szCs w:val="20"/>
                                  <w:lang w:eastAsia="it-IT"/>
                                </w:rPr>
                                <w:t>Piracy is becoming a thing of the past, according to study</w:t>
                              </w:r>
                            </w:p>
                            <w:p w14:paraId="36B90AFC"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A new </w:t>
                              </w:r>
                              <w:hyperlink r:id="rId72" w:tgtFrame="_blank" w:history="1">
                                <w:r w:rsidRPr="00BE7FF6">
                                  <w:rPr>
                                    <w:rFonts w:ascii="Helvetica" w:eastAsia="Times New Roman" w:hAnsi="Helvetica" w:cs="Helvetica"/>
                                    <w:color w:val="007C89"/>
                                    <w:sz w:val="18"/>
                                    <w:szCs w:val="18"/>
                                    <w:u w:val="single"/>
                                    <w:lang w:eastAsia="it-IT"/>
                                  </w:rPr>
                                  <w:t>report</w:t>
                                </w:r>
                              </w:hyperlink>
                              <w:r w:rsidRPr="00BE7FF6">
                                <w:rPr>
                                  <w:rFonts w:ascii="Helvetica" w:eastAsia="Times New Roman" w:hAnsi="Helvetica" w:cs="Helvetica"/>
                                  <w:color w:val="202020"/>
                                  <w:sz w:val="18"/>
                                  <w:szCs w:val="18"/>
                                  <w:lang w:eastAsia="it-IT"/>
                                </w:rPr>
                                <w:t> released by EUIPO claims that piracy traffic online has fallen sharply in recent years. The trend was noted in variety of online media, from movies to music, the latter of which suffered the sharpest decline - 80%. It also showed how TV remains the most recurring pirated form of media with films and music taking over just 30% of all pirated content.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Most importantly, the results show that consumers preferred to enjoy content through legal channels in overwhelming numbers during the pandemic. However, the study focus on web trafficking, which means that apps, streaming devices and IPTV services were not included in its research. Despite so, the downward trend in the popularity of piracy is predicted to resist their inclusion. These are great news for artists and content creators.</w:t>
                              </w:r>
                            </w:p>
                          </w:tc>
                        </w:tr>
                        <w:bookmarkEnd w:id="43"/>
                      </w:tbl>
                      <w:p w14:paraId="09778AA4"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5D59047"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84B69D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55C47357"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3BE0F810" w14:textId="77777777">
                                <w:tc>
                                  <w:tcPr>
                                    <w:tcW w:w="0" w:type="auto"/>
                                    <w:shd w:val="clear" w:color="auto" w:fill="4CAAD8"/>
                                    <w:tcMar>
                                      <w:top w:w="270" w:type="dxa"/>
                                      <w:left w:w="270" w:type="dxa"/>
                                      <w:bottom w:w="270" w:type="dxa"/>
                                      <w:right w:w="270" w:type="dxa"/>
                                    </w:tcMar>
                                    <w:hideMark/>
                                  </w:tcPr>
                                  <w:p w14:paraId="0D0CB74F"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5"/>
                                        <w:szCs w:val="45"/>
                                        <w:lang w:eastAsia="it-IT"/>
                                      </w:rPr>
                                      <w:t>Events</w:t>
                                    </w:r>
                                    <w:bookmarkStart w:id="44" w:name="Events"/>
                                    <w:bookmarkEnd w:id="44"/>
                                  </w:p>
                                </w:tc>
                              </w:tr>
                            </w:tbl>
                            <w:p w14:paraId="409957A7"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6C89A9F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0290F0B"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0E68B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9575F61" w14:textId="77777777">
                          <w:tc>
                            <w:tcPr>
                              <w:tcW w:w="0" w:type="auto"/>
                              <w:tcMar>
                                <w:top w:w="0" w:type="dxa"/>
                                <w:left w:w="270" w:type="dxa"/>
                                <w:bottom w:w="135" w:type="dxa"/>
                                <w:right w:w="270" w:type="dxa"/>
                              </w:tcMar>
                              <w:hideMark/>
                            </w:tcPr>
                            <w:p w14:paraId="4232BEAF"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76F1EDF" wp14:editId="4D001665">
                                    <wp:simplePos x="0" y="0"/>
                                    <wp:positionH relativeFrom="column">
                                      <wp:align>left</wp:align>
                                    </wp:positionH>
                                    <wp:positionV relativeFrom="line">
                                      <wp:posOffset>0</wp:posOffset>
                                    </wp:positionV>
                                    <wp:extent cx="1609725" cy="1609725"/>
                                    <wp:effectExtent l="0" t="0" r="0" b="9525"/>
                                    <wp:wrapSquare wrapText="bothSides"/>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ACE Training Days NL 2022 - Call for Application</w:t>
                              </w:r>
                            </w:p>
                            <w:p w14:paraId="2FCA276D"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Call for application for the Training Days Netherlands, which will be taking place in Amsterdam April 2022.</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Training Days NL is a 2-day workshop, set up especially for upcoming producers who have some years of experience in the film industry, and are looking to gain more knowledge.</w:t>
                              </w:r>
                              <w:r w:rsidRPr="00BE7FF6">
                                <w:rPr>
                                  <w:rFonts w:ascii="Helvetica" w:eastAsia="Times New Roman" w:hAnsi="Helvetica" w:cs="Helvetica"/>
                                  <w:color w:val="202020"/>
                                  <w:sz w:val="18"/>
                                  <w:szCs w:val="18"/>
                                  <w:lang w:eastAsia="it-IT"/>
                                </w:rPr>
                                <w:br/>
                                <w:t>This year applications from the whole Benelux region + Germany will be accepted.</w:t>
                              </w:r>
                              <w:r w:rsidRPr="00BE7FF6">
                                <w:rPr>
                                  <w:rFonts w:ascii="Helvetica" w:eastAsia="Times New Roman" w:hAnsi="Helvetica" w:cs="Helvetica"/>
                                  <w:color w:val="202020"/>
                                  <w:sz w:val="18"/>
                                  <w:szCs w:val="18"/>
                                  <w:lang w:eastAsia="it-IT"/>
                                </w:rPr>
                                <w:br/>
                                <w:t>Topic of this year’s workshop will be: “The Marketing &amp; Promotion of Your Projects in an International Context“.</w:t>
                              </w:r>
                              <w:r w:rsidRPr="00BE7FF6">
                                <w:rPr>
                                  <w:rFonts w:ascii="Helvetica" w:eastAsia="Times New Roman" w:hAnsi="Helvetica" w:cs="Helvetica"/>
                                  <w:color w:val="202020"/>
                                  <w:sz w:val="18"/>
                                  <w:szCs w:val="18"/>
                                  <w:lang w:eastAsia="it-IT"/>
                                </w:rPr>
                                <w:br/>
                                <w:t>The deadline is now set for 14th of January, however the deadline could be rescheduled due to COVID lockdown in the Netherlands. </w:t>
                              </w:r>
                              <w:r w:rsidRPr="00BE7FF6">
                                <w:rPr>
                                  <w:rFonts w:ascii="Helvetica" w:eastAsia="Times New Roman" w:hAnsi="Helvetica" w:cs="Helvetica"/>
                                  <w:color w:val="202020"/>
                                  <w:sz w:val="18"/>
                                  <w:szCs w:val="18"/>
                                  <w:lang w:eastAsia="it-IT"/>
                                </w:rPr>
                                <w:br/>
                                <w:t>Additional info: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lastRenderedPageBreak/>
                                <w:t>Website: </w:t>
                              </w:r>
                              <w:hyperlink r:id="rId74" w:tgtFrame="_blank" w:history="1">
                                <w:r w:rsidRPr="00BE7FF6">
                                  <w:rPr>
                                    <w:rFonts w:ascii="Helvetica" w:eastAsia="Times New Roman" w:hAnsi="Helvetica" w:cs="Helvetica"/>
                                    <w:color w:val="007C89"/>
                                    <w:sz w:val="18"/>
                                    <w:szCs w:val="18"/>
                                    <w:u w:val="single"/>
                                    <w:lang w:eastAsia="it-IT"/>
                                  </w:rPr>
                                  <w:t>https://ace-producers.com/training_days2/trainingdays-nl/</w:t>
                                </w:r>
                              </w:hyperlink>
                              <w:r w:rsidRPr="00BE7FF6">
                                <w:rPr>
                                  <w:rFonts w:ascii="Helvetica" w:eastAsia="Times New Roman" w:hAnsi="Helvetica" w:cs="Helvetica"/>
                                  <w:color w:val="202020"/>
                                  <w:sz w:val="18"/>
                                  <w:szCs w:val="18"/>
                                  <w:lang w:eastAsia="it-IT"/>
                                </w:rPr>
                                <w:br/>
                                <w:t>Facebook: </w:t>
                              </w:r>
                              <w:hyperlink r:id="rId75" w:tgtFrame="_blank" w:history="1">
                                <w:r w:rsidRPr="00BE7FF6">
                                  <w:rPr>
                                    <w:rFonts w:ascii="Helvetica" w:eastAsia="Times New Roman" w:hAnsi="Helvetica" w:cs="Helvetica"/>
                                    <w:color w:val="007C89"/>
                                    <w:sz w:val="18"/>
                                    <w:szCs w:val="18"/>
                                    <w:u w:val="single"/>
                                    <w:lang w:eastAsia="it-IT"/>
                                  </w:rPr>
                                  <w:t>https://www.facebook.com/ACEProducers/posts/4643939145688915</w:t>
                                </w:r>
                              </w:hyperlink>
                              <w:r w:rsidRPr="00BE7FF6">
                                <w:rPr>
                                  <w:rFonts w:ascii="Helvetica" w:eastAsia="Times New Roman" w:hAnsi="Helvetica" w:cs="Helvetica"/>
                                  <w:color w:val="202020"/>
                                  <w:sz w:val="24"/>
                                  <w:szCs w:val="24"/>
                                  <w:lang w:eastAsia="it-IT"/>
                                </w:rPr>
                                <w:br/>
                                <w:t> </w:t>
                              </w:r>
                            </w:p>
                          </w:tc>
                        </w:tr>
                      </w:tbl>
                      <w:p w14:paraId="27F303D3"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7862D2C"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B2F43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65F6760" w14:textId="77777777">
                          <w:tc>
                            <w:tcPr>
                              <w:tcW w:w="0" w:type="auto"/>
                              <w:tcMar>
                                <w:top w:w="0" w:type="dxa"/>
                                <w:left w:w="270" w:type="dxa"/>
                                <w:bottom w:w="135" w:type="dxa"/>
                                <w:right w:w="270" w:type="dxa"/>
                              </w:tcMar>
                              <w:hideMark/>
                            </w:tcPr>
                            <w:p w14:paraId="117FBA7E" w14:textId="77777777" w:rsidR="00BE7FF6" w:rsidRPr="00BE7FF6" w:rsidRDefault="00BE7FF6" w:rsidP="00BE7FF6">
                              <w:pPr>
                                <w:spacing w:after="0" w:line="360" w:lineRule="atLeast"/>
                                <w:jc w:val="both"/>
                                <w:rPr>
                                  <w:rFonts w:ascii="Helvetica" w:eastAsia="Times New Roman" w:hAnsi="Helvetica" w:cs="Helvetica"/>
                                  <w:color w:val="202020"/>
                                  <w:sz w:val="24"/>
                                  <w:szCs w:val="24"/>
                                  <w:lang w:eastAsia="it-IT"/>
                                </w:rPr>
                              </w:pPr>
                              <w:r w:rsidRPr="00BE7FF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768022D" wp14:editId="0C2837E4">
                                    <wp:simplePos x="0" y="0"/>
                                    <wp:positionH relativeFrom="column">
                                      <wp:align>right</wp:align>
                                    </wp:positionH>
                                    <wp:positionV relativeFrom="line">
                                      <wp:posOffset>0</wp:posOffset>
                                    </wp:positionV>
                                    <wp:extent cx="1609725" cy="1609725"/>
                                    <wp:effectExtent l="0" t="0" r="9525" b="9525"/>
                                    <wp:wrapSquare wrapText="bothSides"/>
                                    <wp:docPr id="2" name="Immagine 2" descr="Immagine che contiene albero, giocattolo, arancia, bamb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lbero, giocattolo, arancia, bambola&#10;&#10;Descrizione generata automaticamen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F6">
                                <w:rPr>
                                  <w:rFonts w:ascii="Helvetica" w:eastAsia="Times New Roman" w:hAnsi="Helvetica" w:cs="Helvetica"/>
                                  <w:b/>
                                  <w:bCs/>
                                  <w:color w:val="202020"/>
                                  <w:sz w:val="20"/>
                                  <w:szCs w:val="20"/>
                                  <w:lang w:eastAsia="it-IT"/>
                                </w:rPr>
                                <w:t>French animation leaders create new event to support local industry </w:t>
                              </w:r>
                            </w:p>
                            <w:p w14:paraId="6C222E84"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Cartoon, the non-profit animation organization, will launch a new physician event, called “Cartoon Next” to be launched in France in April 2022. The new conference will be dedicated to the rapidly evolving animation ecosystem and will take place in the city of Marseille from the 12th to the 15th. It will cover the innovations and developments in the sector and the creation, production and distribution processes. </w:t>
                              </w:r>
                              <w:r w:rsidRPr="00BE7FF6">
                                <w:rPr>
                                  <w:rFonts w:ascii="Helvetica" w:eastAsia="Times New Roman" w:hAnsi="Helvetica" w:cs="Helvetica"/>
                                  <w:color w:val="202020"/>
                                  <w:sz w:val="18"/>
                                  <w:szCs w:val="18"/>
                                  <w:lang w:eastAsia="it-IT"/>
                                </w:rPr>
                                <w:br/>
                              </w:r>
                              <w:r w:rsidRPr="00BE7FF6">
                                <w:rPr>
                                  <w:rFonts w:ascii="Helvetica" w:eastAsia="Times New Roman" w:hAnsi="Helvetica" w:cs="Helvetica"/>
                                  <w:color w:val="202020"/>
                                  <w:sz w:val="18"/>
                                  <w:szCs w:val="18"/>
                                  <w:lang w:eastAsia="it-IT"/>
                                </w:rPr>
                                <w:br/>
                                <w:t>The ultimate objective is to push towards more synergies with other industries, such as videogames and live action cinema. It is also expected to complement other initiatives in the Provence-Alpes-Côte d’Azur Region in southern France to support and develop local industry. </w:t>
                              </w:r>
                            </w:p>
                          </w:tc>
                        </w:tr>
                      </w:tbl>
                      <w:p w14:paraId="450DBD98"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F3BFE81"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E4666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2D1C578" w14:textId="77777777">
                          <w:tc>
                            <w:tcPr>
                              <w:tcW w:w="0" w:type="auto"/>
                              <w:tcMar>
                                <w:top w:w="0" w:type="dxa"/>
                                <w:left w:w="270" w:type="dxa"/>
                                <w:bottom w:w="135" w:type="dxa"/>
                                <w:right w:w="270" w:type="dxa"/>
                              </w:tcMar>
                              <w:hideMark/>
                            </w:tcPr>
                            <w:p w14:paraId="5B9F5F45" w14:textId="77777777" w:rsidR="00BE7FF6" w:rsidRPr="00BE7FF6" w:rsidRDefault="00BE7FF6" w:rsidP="00BE7FF6">
                              <w:pPr>
                                <w:spacing w:after="0" w:line="360" w:lineRule="atLeast"/>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4"/>
                                  <w:szCs w:val="24"/>
                                  <w:lang w:eastAsia="it-IT"/>
                                </w:rPr>
                                <w:t>Film Matter Belgium launches CINEMAPP, a discoverability platform for Audiovisual content available in Belgium. </w:t>
                              </w:r>
                            </w:p>
                            <w:p w14:paraId="0C16D40E" w14:textId="77777777" w:rsidR="00BE7FF6" w:rsidRPr="00BE7FF6" w:rsidRDefault="00BE7FF6" w:rsidP="00BE7FF6">
                              <w:pPr>
                                <w:spacing w:before="150" w:after="150" w:line="360" w:lineRule="atLeast"/>
                                <w:jc w:val="both"/>
                                <w:rPr>
                                  <w:rFonts w:ascii="Helvetica" w:eastAsia="Times New Roman" w:hAnsi="Helvetica" w:cs="Helvetica"/>
                                  <w:color w:val="202020"/>
                                  <w:sz w:val="24"/>
                                  <w:szCs w:val="24"/>
                                  <w:lang w:eastAsia="it-IT"/>
                                </w:rPr>
                              </w:pPr>
                              <w:r w:rsidRPr="00BE7FF6">
                                <w:rPr>
                                  <w:rFonts w:ascii="Helvetica" w:eastAsia="Times New Roman" w:hAnsi="Helvetica" w:cs="Helvetica"/>
                                  <w:color w:val="202020"/>
                                  <w:sz w:val="18"/>
                                  <w:szCs w:val="18"/>
                                  <w:lang w:eastAsia="it-IT"/>
                                </w:rPr>
                                <w:t>Film Matter Belgium, in collaboration with the industry partners, will launch on 22 December Cinemapp, a new app where you can find the most complete cinema and streaming information: movie releases, showtimes, trailers, visuals, movie synopsis, streaming offers and much more.</w:t>
                              </w:r>
                              <w:r w:rsidRPr="00BE7FF6">
                                <w:rPr>
                                  <w:rFonts w:ascii="Helvetica" w:eastAsia="Times New Roman" w:hAnsi="Helvetica" w:cs="Helvetica"/>
                                  <w:color w:val="202020"/>
                                  <w:sz w:val="18"/>
                                  <w:szCs w:val="18"/>
                                  <w:lang w:eastAsia="it-IT"/>
                                </w:rPr>
                                <w:br/>
                                <w:t>A lot of functions with key focus on the cinema experience.</w:t>
                              </w:r>
                              <w:r w:rsidRPr="00BE7FF6">
                                <w:rPr>
                                  <w:rFonts w:ascii="Helvetica" w:eastAsia="Times New Roman" w:hAnsi="Helvetica" w:cs="Helvetica"/>
                                  <w:color w:val="202020"/>
                                  <w:sz w:val="18"/>
                                  <w:szCs w:val="18"/>
                                  <w:lang w:eastAsia="it-IT"/>
                                </w:rPr>
                                <w:br/>
                                <w:t>Go and check it out as of next Wednesday and don’t hold back to make your own profile.</w:t>
                              </w:r>
                              <w:r w:rsidRPr="00BE7FF6">
                                <w:rPr>
                                  <w:rFonts w:ascii="Helvetica" w:eastAsia="Times New Roman" w:hAnsi="Helvetica" w:cs="Helvetica"/>
                                  <w:color w:val="202020"/>
                                  <w:sz w:val="18"/>
                                  <w:szCs w:val="18"/>
                                  <w:lang w:eastAsia="it-IT"/>
                                </w:rPr>
                                <w:br/>
                                <w:t>We invite people to exchange their movie experiences.</w:t>
                              </w:r>
                              <w:r w:rsidRPr="00BE7FF6">
                                <w:rPr>
                                  <w:rFonts w:ascii="Helvetica" w:eastAsia="Times New Roman" w:hAnsi="Helvetica" w:cs="Helvetica"/>
                                  <w:color w:val="202020"/>
                                  <w:sz w:val="18"/>
                                  <w:szCs w:val="18"/>
                                  <w:lang w:eastAsia="it-IT"/>
                                </w:rPr>
                                <w:br/>
                                <w:t>Since 2019 Cinemapp is partner with distributors for a B2B solution and also offers a great programming and ticket sales solution, the so called ticketfinder.</w:t>
                              </w:r>
                              <w:r w:rsidRPr="00BE7FF6">
                                <w:rPr>
                                  <w:rFonts w:ascii="Helvetica" w:eastAsia="Times New Roman" w:hAnsi="Helvetica" w:cs="Helvetica"/>
                                  <w:color w:val="202020"/>
                                  <w:sz w:val="18"/>
                                  <w:szCs w:val="18"/>
                                  <w:lang w:eastAsia="it-IT"/>
                                </w:rPr>
                                <w:br/>
                                <w:t>This ticketfinder tool has since been up and running in Belgium and The Netherlands and open for launch in other territories.</w:t>
                              </w:r>
                              <w:r w:rsidRPr="00BE7FF6">
                                <w:rPr>
                                  <w:rFonts w:ascii="Helvetica" w:eastAsia="Times New Roman" w:hAnsi="Helvetica" w:cs="Helvetica"/>
                                  <w:color w:val="202020"/>
                                  <w:sz w:val="18"/>
                                  <w:szCs w:val="18"/>
                                  <w:lang w:eastAsia="it-IT"/>
                                </w:rPr>
                                <w:br/>
                                <w:t>Visit Cinemapp at </w:t>
                              </w:r>
                              <w:hyperlink r:id="rId77" w:tgtFrame="_blank" w:history="1">
                                <w:r w:rsidRPr="00BE7FF6">
                                  <w:rPr>
                                    <w:rFonts w:ascii="Helvetica" w:eastAsia="Times New Roman" w:hAnsi="Helvetica" w:cs="Helvetica"/>
                                    <w:color w:val="007C89"/>
                                    <w:sz w:val="18"/>
                                    <w:szCs w:val="18"/>
                                    <w:u w:val="single"/>
                                    <w:lang w:eastAsia="it-IT"/>
                                  </w:rPr>
                                  <w:t>www.Cinemapp.com</w:t>
                                </w:r>
                              </w:hyperlink>
                              <w:r w:rsidRPr="00BE7FF6">
                                <w:rPr>
                                  <w:rFonts w:ascii="Helvetica" w:eastAsia="Times New Roman" w:hAnsi="Helvetica" w:cs="Helvetica"/>
                                  <w:color w:val="202020"/>
                                  <w:sz w:val="18"/>
                                  <w:szCs w:val="18"/>
                                  <w:lang w:eastAsia="it-IT"/>
                                </w:rPr>
                                <w:t> </w:t>
                              </w:r>
                              <w:r w:rsidRPr="00BE7FF6">
                                <w:rPr>
                                  <w:rFonts w:ascii="Helvetica" w:eastAsia="Times New Roman" w:hAnsi="Helvetica" w:cs="Helvetica"/>
                                  <w:color w:val="202020"/>
                                  <w:sz w:val="18"/>
                                  <w:szCs w:val="18"/>
                                  <w:lang w:eastAsia="it-IT"/>
                                </w:rPr>
                                <w:br/>
                                <w:t>(if you like to receive more information, please contact Pieter Swaelens – </w:t>
                              </w:r>
                              <w:hyperlink r:id="rId78" w:tgtFrame="_blank" w:history="1">
                                <w:r w:rsidRPr="00BE7FF6">
                                  <w:rPr>
                                    <w:rFonts w:ascii="Helvetica" w:eastAsia="Times New Roman" w:hAnsi="Helvetica" w:cs="Helvetica"/>
                                    <w:color w:val="007C89"/>
                                    <w:sz w:val="18"/>
                                    <w:szCs w:val="18"/>
                                    <w:u w:val="single"/>
                                    <w:lang w:eastAsia="it-IT"/>
                                  </w:rPr>
                                  <w:t>pieter@cinemapp.com</w:t>
                                </w:r>
                              </w:hyperlink>
                              <w:r w:rsidRPr="00BE7FF6">
                                <w:rPr>
                                  <w:rFonts w:ascii="Helvetica" w:eastAsia="Times New Roman" w:hAnsi="Helvetica" w:cs="Helvetica"/>
                                  <w:color w:val="202020"/>
                                  <w:sz w:val="18"/>
                                  <w:szCs w:val="18"/>
                                  <w:lang w:eastAsia="it-IT"/>
                                </w:rPr>
                                <w:t>)</w:t>
                              </w:r>
                            </w:p>
                          </w:tc>
                        </w:tr>
                      </w:tbl>
                      <w:p w14:paraId="24918920"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6DC87067"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5B92A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5851C3D" w14:textId="77777777">
                          <w:tc>
                            <w:tcPr>
                              <w:tcW w:w="0" w:type="auto"/>
                              <w:tcMar>
                                <w:top w:w="0" w:type="dxa"/>
                                <w:left w:w="270" w:type="dxa"/>
                                <w:bottom w:w="135" w:type="dxa"/>
                                <w:right w:w="270" w:type="dxa"/>
                              </w:tcMar>
                              <w:hideMark/>
                            </w:tcPr>
                            <w:p w14:paraId="3D8D01A6" w14:textId="77777777" w:rsidR="00BE7FF6" w:rsidRPr="00BE7FF6" w:rsidRDefault="00BE7FF6" w:rsidP="00BE7FF6">
                              <w:pPr>
                                <w:spacing w:after="0" w:line="360" w:lineRule="atLeast"/>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4"/>
                                  <w:szCs w:val="24"/>
                                  <w:lang w:eastAsia="it-IT"/>
                                </w:rPr>
                                <w:t>SeriesMania: Last days of the early bird industry accreditation​​ (22.03.2022 - 24.03.2022) </w:t>
                              </w:r>
                              <w:hyperlink r:id="rId79" w:tgtFrame="_blank" w:history="1">
                                <w:r w:rsidRPr="00BE7FF6">
                                  <w:rPr>
                                    <w:rFonts w:ascii="Helvetica" w:eastAsia="Times New Roman" w:hAnsi="Helvetica" w:cs="Helvetica"/>
                                    <w:color w:val="007C89"/>
                                    <w:sz w:val="24"/>
                                    <w:szCs w:val="24"/>
                                    <w:u w:val="single"/>
                                    <w:lang w:eastAsia="it-IT"/>
                                  </w:rPr>
                                  <w:t>Info</w:t>
                                </w:r>
                              </w:hyperlink>
                            </w:p>
                          </w:tc>
                        </w:tr>
                      </w:tbl>
                      <w:p w14:paraId="3E992F52"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7B9FE51C"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1DEFD7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71E153F8" w14:textId="77777777">
                          <w:tc>
                            <w:tcPr>
                              <w:tcW w:w="0" w:type="auto"/>
                              <w:tcMar>
                                <w:top w:w="0" w:type="dxa"/>
                                <w:left w:w="270" w:type="dxa"/>
                                <w:bottom w:w="135" w:type="dxa"/>
                                <w:right w:w="270" w:type="dxa"/>
                              </w:tcMar>
                              <w:hideMark/>
                            </w:tcPr>
                            <w:p w14:paraId="40254BFF" w14:textId="77777777" w:rsidR="00BE7FF6" w:rsidRPr="00BE7FF6" w:rsidRDefault="00BE7FF6" w:rsidP="00BE7FF6">
                              <w:pPr>
                                <w:spacing w:after="0" w:line="360" w:lineRule="atLeast"/>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4"/>
                                  <w:szCs w:val="24"/>
                                  <w:lang w:eastAsia="it-IT"/>
                                </w:rPr>
                                <w:t>MANIFF2022 - Manchester Film Festival 2022 (10.03.2023 - 20.03.2022) </w:t>
                              </w:r>
                              <w:hyperlink r:id="rId80" w:tgtFrame="_blank" w:history="1">
                                <w:r w:rsidRPr="00BE7FF6">
                                  <w:rPr>
                                    <w:rFonts w:ascii="Helvetica" w:eastAsia="Times New Roman" w:hAnsi="Helvetica" w:cs="Helvetica"/>
                                    <w:color w:val="007C89"/>
                                    <w:sz w:val="24"/>
                                    <w:szCs w:val="24"/>
                                    <w:u w:val="single"/>
                                    <w:lang w:eastAsia="it-IT"/>
                                  </w:rPr>
                                  <w:t>Info</w:t>
                                </w:r>
                              </w:hyperlink>
                            </w:p>
                          </w:tc>
                        </w:tr>
                      </w:tbl>
                      <w:p w14:paraId="6C5F453B"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1521A4F8"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F0C3C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D12D9A2" w14:textId="77777777">
                          <w:tc>
                            <w:tcPr>
                              <w:tcW w:w="0" w:type="auto"/>
                              <w:tcMar>
                                <w:top w:w="0" w:type="dxa"/>
                                <w:left w:w="270" w:type="dxa"/>
                                <w:bottom w:w="135" w:type="dxa"/>
                                <w:right w:w="270" w:type="dxa"/>
                              </w:tcMar>
                              <w:hideMark/>
                            </w:tcPr>
                            <w:p w14:paraId="46C27517" w14:textId="77777777" w:rsidR="00BE7FF6" w:rsidRPr="00BE7FF6" w:rsidRDefault="00BE7FF6" w:rsidP="00BE7FF6">
                              <w:pPr>
                                <w:spacing w:after="0" w:line="360" w:lineRule="atLeast"/>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4"/>
                                  <w:szCs w:val="24"/>
                                  <w:lang w:eastAsia="it-IT"/>
                                </w:rPr>
                                <w:lastRenderedPageBreak/>
                                <w:t>Gerardmer, Festival International du Film Fantastique Europe Film Festival (26.01.2022 - 30.01.2022) </w:t>
                              </w:r>
                              <w:hyperlink r:id="rId81" w:tgtFrame="_blank" w:history="1">
                                <w:r w:rsidRPr="00BE7FF6">
                                  <w:rPr>
                                    <w:rFonts w:ascii="Helvetica" w:eastAsia="Times New Roman" w:hAnsi="Helvetica" w:cs="Helvetica"/>
                                    <w:color w:val="007C89"/>
                                    <w:sz w:val="24"/>
                                    <w:szCs w:val="24"/>
                                    <w:u w:val="single"/>
                                    <w:lang w:eastAsia="it-IT"/>
                                  </w:rPr>
                                  <w:t>Info</w:t>
                                </w:r>
                              </w:hyperlink>
                            </w:p>
                          </w:tc>
                        </w:tr>
                      </w:tbl>
                      <w:p w14:paraId="4733F35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38C4F3D"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0F791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02C006C4" w14:textId="77777777">
                          <w:tc>
                            <w:tcPr>
                              <w:tcW w:w="0" w:type="auto"/>
                              <w:tcMar>
                                <w:top w:w="0" w:type="dxa"/>
                                <w:left w:w="270" w:type="dxa"/>
                                <w:bottom w:w="135" w:type="dxa"/>
                                <w:right w:w="270" w:type="dxa"/>
                              </w:tcMar>
                              <w:hideMark/>
                            </w:tcPr>
                            <w:p w14:paraId="38C899C6" w14:textId="77777777" w:rsidR="00BE7FF6" w:rsidRPr="00BE7FF6" w:rsidRDefault="00BE7FF6" w:rsidP="00BE7FF6">
                              <w:pPr>
                                <w:spacing w:after="0" w:line="360" w:lineRule="atLeast"/>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4"/>
                                  <w:szCs w:val="24"/>
                                  <w:lang w:eastAsia="it-IT"/>
                                </w:rPr>
                                <w:t>International Film Festival Rotterdam 2022 16 Jan - 6 Feb 2022 (16.01.2022 - 06.02.2022) </w:t>
                              </w:r>
                              <w:hyperlink r:id="rId82" w:tgtFrame="_blank" w:history="1">
                                <w:r w:rsidRPr="00BE7FF6">
                                  <w:rPr>
                                    <w:rFonts w:ascii="Helvetica" w:eastAsia="Times New Roman" w:hAnsi="Helvetica" w:cs="Helvetica"/>
                                    <w:color w:val="007C89"/>
                                    <w:sz w:val="24"/>
                                    <w:szCs w:val="24"/>
                                    <w:u w:val="single"/>
                                    <w:lang w:eastAsia="it-IT"/>
                                  </w:rPr>
                                  <w:t>Info</w:t>
                                </w:r>
                              </w:hyperlink>
                            </w:p>
                          </w:tc>
                        </w:tr>
                      </w:tbl>
                      <w:p w14:paraId="1BD04BC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549F1A50"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7503D6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6F8C9DCB" w14:textId="77777777">
                          <w:tc>
                            <w:tcPr>
                              <w:tcW w:w="0" w:type="auto"/>
                              <w:tcMar>
                                <w:top w:w="0" w:type="dxa"/>
                                <w:left w:w="270" w:type="dxa"/>
                                <w:bottom w:w="135" w:type="dxa"/>
                                <w:right w:w="270" w:type="dxa"/>
                              </w:tcMar>
                              <w:hideMark/>
                            </w:tcPr>
                            <w:p w14:paraId="76C1454D" w14:textId="77777777" w:rsidR="00BE7FF6" w:rsidRPr="00BE7FF6" w:rsidRDefault="00BE7FF6" w:rsidP="00BE7FF6">
                              <w:pPr>
                                <w:spacing w:after="0" w:line="360" w:lineRule="atLeast"/>
                                <w:rPr>
                                  <w:rFonts w:ascii="Helvetica" w:eastAsia="Times New Roman" w:hAnsi="Helvetica" w:cs="Helvetica"/>
                                  <w:color w:val="202020"/>
                                  <w:sz w:val="24"/>
                                  <w:szCs w:val="24"/>
                                  <w:lang w:eastAsia="it-IT"/>
                                </w:rPr>
                              </w:pPr>
                              <w:r w:rsidRPr="00BE7FF6">
                                <w:rPr>
                                  <w:rFonts w:ascii="Helvetica" w:eastAsia="Times New Roman" w:hAnsi="Helvetica" w:cs="Helvetica"/>
                                  <w:b/>
                                  <w:bCs/>
                                  <w:color w:val="202020"/>
                                  <w:sz w:val="24"/>
                                  <w:szCs w:val="24"/>
                                  <w:lang w:eastAsia="it-IT"/>
                                </w:rPr>
                                <w:t>Berlin Independent Film Festival (10.02.2022 - 16.02.2022) </w:t>
                              </w:r>
                              <w:hyperlink r:id="rId83" w:tgtFrame="_blank" w:history="1">
                                <w:r w:rsidRPr="00BE7FF6">
                                  <w:rPr>
                                    <w:rFonts w:ascii="Helvetica" w:eastAsia="Times New Roman" w:hAnsi="Helvetica" w:cs="Helvetica"/>
                                    <w:color w:val="007C89"/>
                                    <w:sz w:val="24"/>
                                    <w:szCs w:val="24"/>
                                    <w:u w:val="single"/>
                                    <w:lang w:eastAsia="it-IT"/>
                                  </w:rPr>
                                  <w:t>Info</w:t>
                                </w:r>
                              </w:hyperlink>
                            </w:p>
                          </w:tc>
                        </w:tr>
                      </w:tbl>
                      <w:p w14:paraId="008E7AA6"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F3D163B"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23F27E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D7871D9"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BE7FF6" w:rsidRPr="00BE7FF6" w14:paraId="42567A6A" w14:textId="77777777">
                                <w:tc>
                                  <w:tcPr>
                                    <w:tcW w:w="0" w:type="auto"/>
                                    <w:shd w:val="clear" w:color="auto" w:fill="4CAAD8"/>
                                    <w:tcMar>
                                      <w:top w:w="270" w:type="dxa"/>
                                      <w:left w:w="270" w:type="dxa"/>
                                      <w:bottom w:w="270" w:type="dxa"/>
                                      <w:right w:w="270" w:type="dxa"/>
                                    </w:tcMar>
                                    <w:hideMark/>
                                  </w:tcPr>
                                  <w:p w14:paraId="558AA12F" w14:textId="77777777" w:rsidR="00BE7FF6" w:rsidRPr="00BE7FF6" w:rsidRDefault="00BE7FF6" w:rsidP="00BE7FF6">
                                    <w:pPr>
                                      <w:spacing w:after="0" w:line="540" w:lineRule="atLeast"/>
                                      <w:rPr>
                                        <w:rFonts w:ascii="Helvetica" w:eastAsia="Times New Roman" w:hAnsi="Helvetica" w:cs="Helvetica"/>
                                        <w:color w:val="222222"/>
                                        <w:sz w:val="36"/>
                                        <w:szCs w:val="36"/>
                                        <w:lang w:eastAsia="it-IT"/>
                                      </w:rPr>
                                    </w:pPr>
                                    <w:r w:rsidRPr="00BE7FF6">
                                      <w:rPr>
                                        <w:rFonts w:ascii="Arial" w:eastAsia="Times New Roman" w:hAnsi="Arial" w:cs="Arial"/>
                                        <w:color w:val="000000"/>
                                        <w:sz w:val="45"/>
                                        <w:szCs w:val="45"/>
                                        <w:lang w:eastAsia="it-IT"/>
                                      </w:rPr>
                                      <w:t>Interesting links</w:t>
                                    </w:r>
                                    <w:bookmarkStart w:id="45" w:name="Interesting_links"/>
                                    <w:bookmarkEnd w:id="45"/>
                                  </w:p>
                                </w:tc>
                              </w:tr>
                            </w:tbl>
                            <w:p w14:paraId="0AA31565"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00B4677B"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8E7E90C" w14:textId="77777777" w:rsidR="00BE7FF6" w:rsidRPr="00BE7FF6" w:rsidRDefault="00BE7FF6" w:rsidP="00BE7FF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BE7FF6" w:rsidRPr="00BE7FF6" w14:paraId="33CC9D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E7FF6" w:rsidRPr="00BE7FF6" w14:paraId="2302CA74" w14:textId="77777777">
                          <w:tc>
                            <w:tcPr>
                              <w:tcW w:w="0" w:type="auto"/>
                              <w:tcMar>
                                <w:top w:w="0" w:type="dxa"/>
                                <w:left w:w="270" w:type="dxa"/>
                                <w:bottom w:w="135" w:type="dxa"/>
                                <w:right w:w="270" w:type="dxa"/>
                              </w:tcMar>
                              <w:hideMark/>
                            </w:tcPr>
                            <w:p w14:paraId="63E4361B" w14:textId="77777777" w:rsidR="00BE7FF6" w:rsidRPr="00BE7FF6" w:rsidRDefault="00BE7FF6" w:rsidP="00BE7FF6">
                              <w:pPr>
                                <w:numPr>
                                  <w:ilvl w:val="0"/>
                                  <w:numId w:val="5"/>
                                </w:numPr>
                                <w:spacing w:before="100" w:beforeAutospacing="1" w:after="100" w:afterAutospacing="1" w:line="360" w:lineRule="atLeast"/>
                                <w:rPr>
                                  <w:rFonts w:ascii="Helvetica" w:eastAsia="Times New Roman" w:hAnsi="Helvetica" w:cs="Helvetica"/>
                                  <w:color w:val="202020"/>
                                  <w:sz w:val="24"/>
                                  <w:szCs w:val="24"/>
                                  <w:lang w:eastAsia="it-IT"/>
                                </w:rPr>
                              </w:pPr>
                              <w:hyperlink r:id="rId84" w:tgtFrame="_blank" w:history="1">
                                <w:r w:rsidRPr="00BE7FF6">
                                  <w:rPr>
                                    <w:rFonts w:ascii="Helvetica" w:eastAsia="Times New Roman" w:hAnsi="Helvetica" w:cs="Helvetica"/>
                                    <w:color w:val="007C89"/>
                                    <w:sz w:val="18"/>
                                    <w:szCs w:val="18"/>
                                    <w:u w:val="single"/>
                                    <w:lang w:eastAsia="it-IT"/>
                                  </w:rPr>
                                  <w:t>French Film Executive Eric Lagesse on His Connection With Arab Cinema, State of the Arthouse Sector</w:t>
                                </w:r>
                              </w:hyperlink>
                            </w:p>
                            <w:p w14:paraId="44FC899B" w14:textId="77777777" w:rsidR="00BE7FF6" w:rsidRPr="00BE7FF6" w:rsidRDefault="00BE7FF6" w:rsidP="00BE7FF6">
                              <w:pPr>
                                <w:numPr>
                                  <w:ilvl w:val="0"/>
                                  <w:numId w:val="5"/>
                                </w:numPr>
                                <w:spacing w:before="100" w:beforeAutospacing="1" w:after="100" w:afterAutospacing="1" w:line="360" w:lineRule="atLeast"/>
                                <w:rPr>
                                  <w:rFonts w:ascii="Helvetica" w:eastAsia="Times New Roman" w:hAnsi="Helvetica" w:cs="Helvetica"/>
                                  <w:color w:val="202020"/>
                                  <w:sz w:val="24"/>
                                  <w:szCs w:val="24"/>
                                  <w:lang w:eastAsia="it-IT"/>
                                </w:rPr>
                              </w:pPr>
                              <w:hyperlink r:id="rId85" w:tgtFrame="_blank" w:history="1">
                                <w:r w:rsidRPr="00BE7FF6">
                                  <w:rPr>
                                    <w:rFonts w:ascii="Helvetica" w:eastAsia="Times New Roman" w:hAnsi="Helvetica" w:cs="Helvetica"/>
                                    <w:color w:val="007C89"/>
                                    <w:sz w:val="18"/>
                                    <w:szCs w:val="18"/>
                                    <w:u w:val="single"/>
                                    <w:lang w:eastAsia="it-IT"/>
                                  </w:rPr>
                                  <w:t>Women In Film Launches 2022 ‘Vote For Women’ Awards-Season Campaign</w:t>
                                </w:r>
                              </w:hyperlink>
                            </w:p>
                            <w:p w14:paraId="2737CEBC" w14:textId="77777777" w:rsidR="00BE7FF6" w:rsidRPr="00BE7FF6" w:rsidRDefault="00BE7FF6" w:rsidP="00BE7FF6">
                              <w:pPr>
                                <w:numPr>
                                  <w:ilvl w:val="0"/>
                                  <w:numId w:val="5"/>
                                </w:numPr>
                                <w:spacing w:before="100" w:beforeAutospacing="1" w:after="100" w:afterAutospacing="1" w:line="360" w:lineRule="atLeast"/>
                                <w:rPr>
                                  <w:rFonts w:ascii="Helvetica" w:eastAsia="Times New Roman" w:hAnsi="Helvetica" w:cs="Helvetica"/>
                                  <w:color w:val="202020"/>
                                  <w:sz w:val="24"/>
                                  <w:szCs w:val="24"/>
                                  <w:lang w:eastAsia="it-IT"/>
                                </w:rPr>
                              </w:pPr>
                              <w:hyperlink r:id="rId86" w:tgtFrame="_blank" w:history="1">
                                <w:r w:rsidRPr="00BE7FF6">
                                  <w:rPr>
                                    <w:rFonts w:ascii="Helvetica" w:eastAsia="Times New Roman" w:hAnsi="Helvetica" w:cs="Helvetica"/>
                                    <w:color w:val="007C89"/>
                                    <w:sz w:val="18"/>
                                    <w:szCs w:val="18"/>
                                    <w:u w:val="single"/>
                                    <w:lang w:eastAsia="it-IT"/>
                                  </w:rPr>
                                  <w:t>Golden Globes Is A No-Go For NBCU In 2022 - But The $43M Loss May Be A Good Thing</w:t>
                                </w:r>
                              </w:hyperlink>
                            </w:p>
                          </w:tc>
                        </w:tr>
                      </w:tbl>
                      <w:p w14:paraId="3D1D9AE8"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4BB5F06E" w14:textId="77777777" w:rsidR="00BE7FF6" w:rsidRPr="00BE7FF6" w:rsidRDefault="00BE7FF6" w:rsidP="00BE7FF6">
                  <w:pPr>
                    <w:spacing w:after="0" w:line="240" w:lineRule="auto"/>
                    <w:rPr>
                      <w:rFonts w:ascii="Times New Roman" w:eastAsia="Times New Roman" w:hAnsi="Times New Roman" w:cs="Times New Roman"/>
                      <w:sz w:val="24"/>
                      <w:szCs w:val="24"/>
                      <w:lang w:eastAsia="it-IT"/>
                    </w:rPr>
                  </w:pPr>
                </w:p>
              </w:tc>
            </w:tr>
          </w:tbl>
          <w:p w14:paraId="252FC77D" w14:textId="77777777" w:rsidR="00BE7FF6" w:rsidRPr="00BE7FF6" w:rsidRDefault="00BE7FF6" w:rsidP="00BE7FF6">
            <w:pPr>
              <w:spacing w:after="0" w:line="240" w:lineRule="auto"/>
              <w:jc w:val="center"/>
              <w:rPr>
                <w:rFonts w:ascii="Times New Roman" w:eastAsia="Times New Roman" w:hAnsi="Times New Roman" w:cs="Times New Roman"/>
                <w:color w:val="000000"/>
                <w:sz w:val="27"/>
                <w:szCs w:val="27"/>
                <w:lang w:eastAsia="it-IT"/>
              </w:rPr>
            </w:pPr>
          </w:p>
        </w:tc>
      </w:tr>
    </w:tbl>
    <w:p w14:paraId="15279F6D" w14:textId="77777777" w:rsidR="00EB5C41" w:rsidRDefault="00EB5C41"/>
    <w:sectPr w:rsidR="00EB5C4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E89"/>
    <w:multiLevelType w:val="multilevel"/>
    <w:tmpl w:val="A9B0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506D2E"/>
    <w:multiLevelType w:val="multilevel"/>
    <w:tmpl w:val="8F62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240931"/>
    <w:multiLevelType w:val="multilevel"/>
    <w:tmpl w:val="8DC0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E90EA2"/>
    <w:multiLevelType w:val="multilevel"/>
    <w:tmpl w:val="2390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C27969"/>
    <w:multiLevelType w:val="multilevel"/>
    <w:tmpl w:val="EE724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FF6"/>
    <w:rsid w:val="00BE7FF6"/>
    <w:rsid w:val="00EB5C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B3973"/>
  <w15:chartTrackingRefBased/>
  <w15:docId w15:val="{C762BA18-2CC5-4EEA-986A-7BE41C4BB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BE7FF6"/>
    <w:rPr>
      <w:color w:val="0000FF"/>
      <w:u w:val="single"/>
    </w:rPr>
  </w:style>
  <w:style w:type="paragraph" w:styleId="NormaleWeb">
    <w:name w:val="Normal (Web)"/>
    <w:basedOn w:val="Normale"/>
    <w:uiPriority w:val="99"/>
    <w:semiHidden/>
    <w:unhideWhenUsed/>
    <w:rsid w:val="00BE7FF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E7FF6"/>
    <w:rPr>
      <w:b/>
      <w:bCs/>
    </w:rPr>
  </w:style>
  <w:style w:type="character" w:styleId="Enfasicorsivo">
    <w:name w:val="Emphasis"/>
    <w:basedOn w:val="Carpredefinitoparagrafo"/>
    <w:uiPriority w:val="20"/>
    <w:qFormat/>
    <w:rsid w:val="00BE7F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90459">
      <w:bodyDiv w:val="1"/>
      <w:marLeft w:val="0"/>
      <w:marRight w:val="0"/>
      <w:marTop w:val="0"/>
      <w:marBottom w:val="0"/>
      <w:divBdr>
        <w:top w:val="none" w:sz="0" w:space="0" w:color="auto"/>
        <w:left w:val="none" w:sz="0" w:space="0" w:color="auto"/>
        <w:bottom w:val="none" w:sz="0" w:space="0" w:color="auto"/>
        <w:right w:val="none" w:sz="0" w:space="0" w:color="auto"/>
      </w:divBdr>
      <w:divsChild>
        <w:div w:id="1178232155">
          <w:marLeft w:val="0"/>
          <w:marRight w:val="0"/>
          <w:marTop w:val="0"/>
          <w:marBottom w:val="0"/>
          <w:divBdr>
            <w:top w:val="none" w:sz="0" w:space="0" w:color="auto"/>
            <w:left w:val="none" w:sz="0" w:space="0" w:color="auto"/>
            <w:bottom w:val="none" w:sz="0" w:space="0" w:color="auto"/>
            <w:right w:val="none" w:sz="0" w:space="0" w:color="auto"/>
          </w:divBdr>
        </w:div>
        <w:div w:id="1033766154">
          <w:marLeft w:val="0"/>
          <w:marRight w:val="0"/>
          <w:marTop w:val="0"/>
          <w:marBottom w:val="0"/>
          <w:divBdr>
            <w:top w:val="none" w:sz="0" w:space="0" w:color="auto"/>
            <w:left w:val="none" w:sz="0" w:space="0" w:color="auto"/>
            <w:bottom w:val="none" w:sz="0" w:space="0" w:color="auto"/>
            <w:right w:val="none" w:sz="0" w:space="0" w:color="auto"/>
          </w:divBdr>
        </w:div>
        <w:div w:id="246498255">
          <w:marLeft w:val="0"/>
          <w:marRight w:val="0"/>
          <w:marTop w:val="0"/>
          <w:marBottom w:val="0"/>
          <w:divBdr>
            <w:top w:val="none" w:sz="0" w:space="0" w:color="auto"/>
            <w:left w:val="none" w:sz="0" w:space="0" w:color="auto"/>
            <w:bottom w:val="none" w:sz="0" w:space="0" w:color="auto"/>
            <w:right w:val="none" w:sz="0" w:space="0" w:color="auto"/>
          </w:divBdr>
        </w:div>
        <w:div w:id="1886942371">
          <w:marLeft w:val="0"/>
          <w:marRight w:val="0"/>
          <w:marTop w:val="0"/>
          <w:marBottom w:val="0"/>
          <w:divBdr>
            <w:top w:val="none" w:sz="0" w:space="0" w:color="auto"/>
            <w:left w:val="none" w:sz="0" w:space="0" w:color="auto"/>
            <w:bottom w:val="none" w:sz="0" w:space="0" w:color="auto"/>
            <w:right w:val="none" w:sz="0" w:space="0" w:color="auto"/>
          </w:divBdr>
        </w:div>
        <w:div w:id="33309305">
          <w:marLeft w:val="0"/>
          <w:marRight w:val="0"/>
          <w:marTop w:val="0"/>
          <w:marBottom w:val="0"/>
          <w:divBdr>
            <w:top w:val="none" w:sz="0" w:space="0" w:color="auto"/>
            <w:left w:val="none" w:sz="0" w:space="0" w:color="auto"/>
            <w:bottom w:val="none" w:sz="0" w:space="0" w:color="auto"/>
            <w:right w:val="none" w:sz="0" w:space="0" w:color="auto"/>
          </w:divBdr>
        </w:div>
        <w:div w:id="1879391839">
          <w:marLeft w:val="0"/>
          <w:marRight w:val="0"/>
          <w:marTop w:val="0"/>
          <w:marBottom w:val="0"/>
          <w:divBdr>
            <w:top w:val="none" w:sz="0" w:space="0" w:color="auto"/>
            <w:left w:val="none" w:sz="0" w:space="0" w:color="auto"/>
            <w:bottom w:val="none" w:sz="0" w:space="0" w:color="auto"/>
            <w:right w:val="none" w:sz="0" w:space="0" w:color="auto"/>
          </w:divBdr>
        </w:div>
        <w:div w:id="758328353">
          <w:marLeft w:val="0"/>
          <w:marRight w:val="0"/>
          <w:marTop w:val="0"/>
          <w:marBottom w:val="0"/>
          <w:divBdr>
            <w:top w:val="none" w:sz="0" w:space="0" w:color="auto"/>
            <w:left w:val="none" w:sz="0" w:space="0" w:color="auto"/>
            <w:bottom w:val="none" w:sz="0" w:space="0" w:color="auto"/>
            <w:right w:val="none" w:sz="0" w:space="0" w:color="auto"/>
          </w:divBdr>
        </w:div>
        <w:div w:id="643510365">
          <w:marLeft w:val="0"/>
          <w:marRight w:val="0"/>
          <w:marTop w:val="0"/>
          <w:marBottom w:val="0"/>
          <w:divBdr>
            <w:top w:val="none" w:sz="0" w:space="0" w:color="auto"/>
            <w:left w:val="none" w:sz="0" w:space="0" w:color="auto"/>
            <w:bottom w:val="none" w:sz="0" w:space="0" w:color="auto"/>
            <w:right w:val="none" w:sz="0" w:space="0" w:color="auto"/>
          </w:divBdr>
        </w:div>
        <w:div w:id="192421204">
          <w:marLeft w:val="0"/>
          <w:marRight w:val="0"/>
          <w:marTop w:val="0"/>
          <w:marBottom w:val="0"/>
          <w:divBdr>
            <w:top w:val="none" w:sz="0" w:space="0" w:color="auto"/>
            <w:left w:val="none" w:sz="0" w:space="0" w:color="auto"/>
            <w:bottom w:val="none" w:sz="0" w:space="0" w:color="auto"/>
            <w:right w:val="none" w:sz="0" w:space="0" w:color="auto"/>
          </w:divBdr>
        </w:div>
        <w:div w:id="1614170280">
          <w:marLeft w:val="0"/>
          <w:marRight w:val="0"/>
          <w:marTop w:val="0"/>
          <w:marBottom w:val="0"/>
          <w:divBdr>
            <w:top w:val="none" w:sz="0" w:space="0" w:color="auto"/>
            <w:left w:val="none" w:sz="0" w:space="0" w:color="auto"/>
            <w:bottom w:val="none" w:sz="0" w:space="0" w:color="auto"/>
            <w:right w:val="none" w:sz="0" w:space="0" w:color="auto"/>
          </w:divBdr>
        </w:div>
        <w:div w:id="1953198613">
          <w:marLeft w:val="0"/>
          <w:marRight w:val="0"/>
          <w:marTop w:val="0"/>
          <w:marBottom w:val="0"/>
          <w:divBdr>
            <w:top w:val="none" w:sz="0" w:space="0" w:color="auto"/>
            <w:left w:val="none" w:sz="0" w:space="0" w:color="auto"/>
            <w:bottom w:val="none" w:sz="0" w:space="0" w:color="auto"/>
            <w:right w:val="none" w:sz="0" w:space="0" w:color="auto"/>
          </w:divBdr>
        </w:div>
        <w:div w:id="1568757806">
          <w:marLeft w:val="0"/>
          <w:marRight w:val="0"/>
          <w:marTop w:val="0"/>
          <w:marBottom w:val="0"/>
          <w:divBdr>
            <w:top w:val="none" w:sz="0" w:space="0" w:color="auto"/>
            <w:left w:val="none" w:sz="0" w:space="0" w:color="auto"/>
            <w:bottom w:val="none" w:sz="0" w:space="0" w:color="auto"/>
            <w:right w:val="none" w:sz="0" w:space="0" w:color="auto"/>
          </w:divBdr>
        </w:div>
        <w:div w:id="1065447362">
          <w:marLeft w:val="0"/>
          <w:marRight w:val="0"/>
          <w:marTop w:val="0"/>
          <w:marBottom w:val="0"/>
          <w:divBdr>
            <w:top w:val="none" w:sz="0" w:space="0" w:color="auto"/>
            <w:left w:val="none" w:sz="0" w:space="0" w:color="auto"/>
            <w:bottom w:val="none" w:sz="0" w:space="0" w:color="auto"/>
            <w:right w:val="none" w:sz="0" w:space="0" w:color="auto"/>
          </w:divBdr>
        </w:div>
        <w:div w:id="1524587419">
          <w:marLeft w:val="0"/>
          <w:marRight w:val="0"/>
          <w:marTop w:val="0"/>
          <w:marBottom w:val="0"/>
          <w:divBdr>
            <w:top w:val="none" w:sz="0" w:space="0" w:color="auto"/>
            <w:left w:val="none" w:sz="0" w:space="0" w:color="auto"/>
            <w:bottom w:val="none" w:sz="0" w:space="0" w:color="auto"/>
            <w:right w:val="none" w:sz="0" w:space="0" w:color="auto"/>
          </w:divBdr>
        </w:div>
        <w:div w:id="429277273">
          <w:marLeft w:val="0"/>
          <w:marRight w:val="0"/>
          <w:marTop w:val="0"/>
          <w:marBottom w:val="0"/>
          <w:divBdr>
            <w:top w:val="none" w:sz="0" w:space="0" w:color="auto"/>
            <w:left w:val="none" w:sz="0" w:space="0" w:color="auto"/>
            <w:bottom w:val="none" w:sz="0" w:space="0" w:color="auto"/>
            <w:right w:val="none" w:sz="0" w:space="0" w:color="auto"/>
          </w:divBdr>
        </w:div>
        <w:div w:id="284042789">
          <w:marLeft w:val="0"/>
          <w:marRight w:val="0"/>
          <w:marTop w:val="0"/>
          <w:marBottom w:val="0"/>
          <w:divBdr>
            <w:top w:val="none" w:sz="0" w:space="0" w:color="auto"/>
            <w:left w:val="none" w:sz="0" w:space="0" w:color="auto"/>
            <w:bottom w:val="none" w:sz="0" w:space="0" w:color="auto"/>
            <w:right w:val="none" w:sz="0" w:space="0" w:color="auto"/>
          </w:divBdr>
        </w:div>
        <w:div w:id="1309356933">
          <w:marLeft w:val="0"/>
          <w:marRight w:val="0"/>
          <w:marTop w:val="0"/>
          <w:marBottom w:val="0"/>
          <w:divBdr>
            <w:top w:val="none" w:sz="0" w:space="0" w:color="auto"/>
            <w:left w:val="none" w:sz="0" w:space="0" w:color="auto"/>
            <w:bottom w:val="none" w:sz="0" w:space="0" w:color="auto"/>
            <w:right w:val="none" w:sz="0" w:space="0" w:color="auto"/>
          </w:divBdr>
        </w:div>
        <w:div w:id="1510833072">
          <w:marLeft w:val="0"/>
          <w:marRight w:val="0"/>
          <w:marTop w:val="0"/>
          <w:marBottom w:val="0"/>
          <w:divBdr>
            <w:top w:val="none" w:sz="0" w:space="0" w:color="auto"/>
            <w:left w:val="none" w:sz="0" w:space="0" w:color="auto"/>
            <w:bottom w:val="none" w:sz="0" w:space="0" w:color="auto"/>
            <w:right w:val="none" w:sz="0" w:space="0" w:color="auto"/>
          </w:divBdr>
        </w:div>
        <w:div w:id="833032692">
          <w:marLeft w:val="0"/>
          <w:marRight w:val="0"/>
          <w:marTop w:val="0"/>
          <w:marBottom w:val="0"/>
          <w:divBdr>
            <w:top w:val="none" w:sz="0" w:space="0" w:color="auto"/>
            <w:left w:val="none" w:sz="0" w:space="0" w:color="auto"/>
            <w:bottom w:val="none" w:sz="0" w:space="0" w:color="auto"/>
            <w:right w:val="none" w:sz="0" w:space="0" w:color="auto"/>
          </w:divBdr>
        </w:div>
        <w:div w:id="1085565654">
          <w:marLeft w:val="0"/>
          <w:marRight w:val="0"/>
          <w:marTop w:val="0"/>
          <w:marBottom w:val="0"/>
          <w:divBdr>
            <w:top w:val="none" w:sz="0" w:space="0" w:color="auto"/>
            <w:left w:val="none" w:sz="0" w:space="0" w:color="auto"/>
            <w:bottom w:val="none" w:sz="0" w:space="0" w:color="auto"/>
            <w:right w:val="none" w:sz="0" w:space="0" w:color="auto"/>
          </w:divBdr>
        </w:div>
        <w:div w:id="1946692024">
          <w:marLeft w:val="0"/>
          <w:marRight w:val="0"/>
          <w:marTop w:val="0"/>
          <w:marBottom w:val="0"/>
          <w:divBdr>
            <w:top w:val="none" w:sz="0" w:space="0" w:color="auto"/>
            <w:left w:val="none" w:sz="0" w:space="0" w:color="auto"/>
            <w:bottom w:val="none" w:sz="0" w:space="0" w:color="auto"/>
            <w:right w:val="none" w:sz="0" w:space="0" w:color="auto"/>
          </w:divBdr>
        </w:div>
        <w:div w:id="1308893984">
          <w:marLeft w:val="0"/>
          <w:marRight w:val="0"/>
          <w:marTop w:val="0"/>
          <w:marBottom w:val="0"/>
          <w:divBdr>
            <w:top w:val="none" w:sz="0" w:space="0" w:color="auto"/>
            <w:left w:val="none" w:sz="0" w:space="0" w:color="auto"/>
            <w:bottom w:val="none" w:sz="0" w:space="0" w:color="auto"/>
            <w:right w:val="none" w:sz="0" w:space="0" w:color="auto"/>
          </w:divBdr>
        </w:div>
        <w:div w:id="1073311523">
          <w:marLeft w:val="0"/>
          <w:marRight w:val="0"/>
          <w:marTop w:val="0"/>
          <w:marBottom w:val="0"/>
          <w:divBdr>
            <w:top w:val="none" w:sz="0" w:space="0" w:color="auto"/>
            <w:left w:val="none" w:sz="0" w:space="0" w:color="auto"/>
            <w:bottom w:val="none" w:sz="0" w:space="0" w:color="auto"/>
            <w:right w:val="none" w:sz="0" w:space="0" w:color="auto"/>
          </w:divBdr>
        </w:div>
        <w:div w:id="1765107495">
          <w:marLeft w:val="0"/>
          <w:marRight w:val="0"/>
          <w:marTop w:val="0"/>
          <w:marBottom w:val="0"/>
          <w:divBdr>
            <w:top w:val="none" w:sz="0" w:space="0" w:color="auto"/>
            <w:left w:val="none" w:sz="0" w:space="0" w:color="auto"/>
            <w:bottom w:val="none" w:sz="0" w:space="0" w:color="auto"/>
            <w:right w:val="none" w:sz="0" w:space="0" w:color="auto"/>
          </w:divBdr>
        </w:div>
        <w:div w:id="1209220764">
          <w:marLeft w:val="0"/>
          <w:marRight w:val="0"/>
          <w:marTop w:val="0"/>
          <w:marBottom w:val="0"/>
          <w:divBdr>
            <w:top w:val="none" w:sz="0" w:space="0" w:color="auto"/>
            <w:left w:val="none" w:sz="0" w:space="0" w:color="auto"/>
            <w:bottom w:val="none" w:sz="0" w:space="0" w:color="auto"/>
            <w:right w:val="none" w:sz="0" w:space="0" w:color="auto"/>
          </w:divBdr>
        </w:div>
        <w:div w:id="1457063023">
          <w:marLeft w:val="0"/>
          <w:marRight w:val="0"/>
          <w:marTop w:val="0"/>
          <w:marBottom w:val="0"/>
          <w:divBdr>
            <w:top w:val="none" w:sz="0" w:space="0" w:color="auto"/>
            <w:left w:val="none" w:sz="0" w:space="0" w:color="auto"/>
            <w:bottom w:val="none" w:sz="0" w:space="0" w:color="auto"/>
            <w:right w:val="none" w:sz="0" w:space="0" w:color="auto"/>
          </w:divBdr>
        </w:div>
        <w:div w:id="1131246570">
          <w:marLeft w:val="0"/>
          <w:marRight w:val="0"/>
          <w:marTop w:val="0"/>
          <w:marBottom w:val="0"/>
          <w:divBdr>
            <w:top w:val="none" w:sz="0" w:space="0" w:color="auto"/>
            <w:left w:val="none" w:sz="0" w:space="0" w:color="auto"/>
            <w:bottom w:val="none" w:sz="0" w:space="0" w:color="auto"/>
            <w:right w:val="none" w:sz="0" w:space="0" w:color="auto"/>
          </w:divBdr>
        </w:div>
        <w:div w:id="1425153057">
          <w:marLeft w:val="0"/>
          <w:marRight w:val="0"/>
          <w:marTop w:val="0"/>
          <w:marBottom w:val="0"/>
          <w:divBdr>
            <w:top w:val="none" w:sz="0" w:space="0" w:color="auto"/>
            <w:left w:val="none" w:sz="0" w:space="0" w:color="auto"/>
            <w:bottom w:val="none" w:sz="0" w:space="0" w:color="auto"/>
            <w:right w:val="none" w:sz="0" w:space="0" w:color="auto"/>
          </w:divBdr>
        </w:div>
        <w:div w:id="739710963">
          <w:marLeft w:val="0"/>
          <w:marRight w:val="0"/>
          <w:marTop w:val="0"/>
          <w:marBottom w:val="0"/>
          <w:divBdr>
            <w:top w:val="none" w:sz="0" w:space="0" w:color="auto"/>
            <w:left w:val="none" w:sz="0" w:space="0" w:color="auto"/>
            <w:bottom w:val="none" w:sz="0" w:space="0" w:color="auto"/>
            <w:right w:val="none" w:sz="0" w:space="0" w:color="auto"/>
          </w:divBdr>
        </w:div>
        <w:div w:id="1179657264">
          <w:marLeft w:val="0"/>
          <w:marRight w:val="0"/>
          <w:marTop w:val="0"/>
          <w:marBottom w:val="0"/>
          <w:divBdr>
            <w:top w:val="none" w:sz="0" w:space="0" w:color="auto"/>
            <w:left w:val="none" w:sz="0" w:space="0" w:color="auto"/>
            <w:bottom w:val="none" w:sz="0" w:space="0" w:color="auto"/>
            <w:right w:val="none" w:sz="0" w:space="0" w:color="auto"/>
          </w:divBdr>
        </w:div>
        <w:div w:id="2126806568">
          <w:marLeft w:val="0"/>
          <w:marRight w:val="0"/>
          <w:marTop w:val="0"/>
          <w:marBottom w:val="0"/>
          <w:divBdr>
            <w:top w:val="none" w:sz="0" w:space="0" w:color="auto"/>
            <w:left w:val="none" w:sz="0" w:space="0" w:color="auto"/>
            <w:bottom w:val="none" w:sz="0" w:space="0" w:color="auto"/>
            <w:right w:val="none" w:sz="0" w:space="0" w:color="auto"/>
          </w:divBdr>
        </w:div>
        <w:div w:id="32662149">
          <w:marLeft w:val="0"/>
          <w:marRight w:val="0"/>
          <w:marTop w:val="0"/>
          <w:marBottom w:val="0"/>
          <w:divBdr>
            <w:top w:val="none" w:sz="0" w:space="0" w:color="auto"/>
            <w:left w:val="none" w:sz="0" w:space="0" w:color="auto"/>
            <w:bottom w:val="none" w:sz="0" w:space="0" w:color="auto"/>
            <w:right w:val="none" w:sz="0" w:space="0" w:color="auto"/>
          </w:divBdr>
        </w:div>
        <w:div w:id="1863975293">
          <w:marLeft w:val="0"/>
          <w:marRight w:val="0"/>
          <w:marTop w:val="0"/>
          <w:marBottom w:val="0"/>
          <w:divBdr>
            <w:top w:val="none" w:sz="0" w:space="0" w:color="auto"/>
            <w:left w:val="none" w:sz="0" w:space="0" w:color="auto"/>
            <w:bottom w:val="none" w:sz="0" w:space="0" w:color="auto"/>
            <w:right w:val="none" w:sz="0" w:space="0" w:color="auto"/>
          </w:divBdr>
        </w:div>
        <w:div w:id="1487018499">
          <w:marLeft w:val="0"/>
          <w:marRight w:val="0"/>
          <w:marTop w:val="0"/>
          <w:marBottom w:val="0"/>
          <w:divBdr>
            <w:top w:val="none" w:sz="0" w:space="0" w:color="auto"/>
            <w:left w:val="none" w:sz="0" w:space="0" w:color="auto"/>
            <w:bottom w:val="none" w:sz="0" w:space="0" w:color="auto"/>
            <w:right w:val="none" w:sz="0" w:space="0" w:color="auto"/>
          </w:divBdr>
        </w:div>
        <w:div w:id="131873882">
          <w:marLeft w:val="0"/>
          <w:marRight w:val="0"/>
          <w:marTop w:val="0"/>
          <w:marBottom w:val="0"/>
          <w:divBdr>
            <w:top w:val="none" w:sz="0" w:space="0" w:color="auto"/>
            <w:left w:val="none" w:sz="0" w:space="0" w:color="auto"/>
            <w:bottom w:val="none" w:sz="0" w:space="0" w:color="auto"/>
            <w:right w:val="none" w:sz="0" w:space="0" w:color="auto"/>
          </w:divBdr>
        </w:div>
        <w:div w:id="1301036401">
          <w:marLeft w:val="0"/>
          <w:marRight w:val="0"/>
          <w:marTop w:val="0"/>
          <w:marBottom w:val="0"/>
          <w:divBdr>
            <w:top w:val="none" w:sz="0" w:space="0" w:color="auto"/>
            <w:left w:val="none" w:sz="0" w:space="0" w:color="auto"/>
            <w:bottom w:val="none" w:sz="0" w:space="0" w:color="auto"/>
            <w:right w:val="none" w:sz="0" w:space="0" w:color="auto"/>
          </w:divBdr>
        </w:div>
        <w:div w:id="145602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ce3ee53e5b29/cepi-nl-december-2021-january-2022?e=00eb4f9b18" TargetMode="External"/><Relationship Id="rId21" Type="http://schemas.openxmlformats.org/officeDocument/2006/relationships/hyperlink" Target="https://mailchi.mp/ce3ee53e5b29/cepi-nl-december-2021-january-2022?e=00eb4f9b18" TargetMode="External"/><Relationship Id="rId42" Type="http://schemas.openxmlformats.org/officeDocument/2006/relationships/image" Target="media/image9.png"/><Relationship Id="rId47" Type="http://schemas.openxmlformats.org/officeDocument/2006/relationships/hyperlink" Target="https://www.creativityworks.eu/mediaroom/dsa-disappointing-imco-vote-but-a-genuinely-safe-and-trustworthy-online-environment-is-still-possible-says-creativity-works/" TargetMode="External"/><Relationship Id="rId63" Type="http://schemas.openxmlformats.org/officeDocument/2006/relationships/image" Target="media/image20.jpeg"/><Relationship Id="rId68" Type="http://schemas.openxmlformats.org/officeDocument/2006/relationships/hyperlink" Target="https://avdata4europe.eu/key-data/" TargetMode="External"/><Relationship Id="rId84" Type="http://schemas.openxmlformats.org/officeDocument/2006/relationships/hyperlink" Target="https://presidence-francaise.consilium.europa.eu/fr/evenements/" TargetMode="External"/><Relationship Id="rId16" Type="http://schemas.openxmlformats.org/officeDocument/2006/relationships/hyperlink" Target="https://mailchi.mp/ce3ee53e5b29/cepi-nl-december-2021-january-2022?e=00eb4f9b18" TargetMode="External"/><Relationship Id="rId11" Type="http://schemas.openxmlformats.org/officeDocument/2006/relationships/hyperlink" Target="https://mailchi.mp/ce3ee53e5b29/cepi-nl-december-2021-january-2022?e=00eb4f9b18" TargetMode="External"/><Relationship Id="rId32" Type="http://schemas.openxmlformats.org/officeDocument/2006/relationships/hyperlink" Target="https://www.euronews.com/2021/12/09/watch-live-macron-to-unveil-priorities-of-french-eu-presidency" TargetMode="External"/><Relationship Id="rId37" Type="http://schemas.openxmlformats.org/officeDocument/2006/relationships/image" Target="media/image6.jpeg"/><Relationship Id="rId53" Type="http://schemas.openxmlformats.org/officeDocument/2006/relationships/image" Target="media/image15.jpeg"/><Relationship Id="rId58" Type="http://schemas.openxmlformats.org/officeDocument/2006/relationships/hyperlink" Target="https://dtv.nagra.com/" TargetMode="External"/><Relationship Id="rId74" Type="http://schemas.openxmlformats.org/officeDocument/2006/relationships/hyperlink" Target="https://ace-producers.com/training_days2/trainingdays-nl/" TargetMode="External"/><Relationship Id="rId79" Type="http://schemas.openxmlformats.org/officeDocument/2006/relationships/hyperlink" Target="https://seriesmania.com/forum/en/registrations-2022/" TargetMode="External"/><Relationship Id="rId5" Type="http://schemas.openxmlformats.org/officeDocument/2006/relationships/hyperlink" Target="https://www.cepi-producers.eu/" TargetMode="External"/><Relationship Id="rId19" Type="http://schemas.openxmlformats.org/officeDocument/2006/relationships/hyperlink" Target="https://mailchi.mp/ce3ee53e5b29/cepi-nl-december-2021-january-2022?e=00eb4f9b18" TargetMode="External"/><Relationship Id="rId14" Type="http://schemas.openxmlformats.org/officeDocument/2006/relationships/hyperlink" Target="https://mailchi.mp/ce3ee53e5b29/cepi-nl-december-2021-january-2022?e=00eb4f9b18" TargetMode="External"/><Relationship Id="rId22" Type="http://schemas.openxmlformats.org/officeDocument/2006/relationships/hyperlink" Target="https://mailchi.mp/ce3ee53e5b29/cepi-nl-december-2021-january-2022?e=00eb4f9b18" TargetMode="External"/><Relationship Id="rId27" Type="http://schemas.openxmlformats.org/officeDocument/2006/relationships/image" Target="media/image2.jpeg"/><Relationship Id="rId30" Type="http://schemas.openxmlformats.org/officeDocument/2006/relationships/hyperlink" Target="https://www.consilium.europa.eu/en/council-eu/presidency-council-eu/" TargetMode="External"/><Relationship Id="rId35" Type="http://schemas.openxmlformats.org/officeDocument/2006/relationships/image" Target="media/image4.jpeg"/><Relationship Id="rId43" Type="http://schemas.openxmlformats.org/officeDocument/2006/relationships/hyperlink" Target="https://www.europarl.europa.eu/news/en/press-room/20211210IPR19211/digital-markets-act-parliament-ready-to-start-negotiations-with-council" TargetMode="External"/><Relationship Id="rId48" Type="http://schemas.openxmlformats.org/officeDocument/2006/relationships/image" Target="media/image11.jpeg"/><Relationship Id="rId56" Type="http://schemas.openxmlformats.org/officeDocument/2006/relationships/hyperlink" Target="https://www.endersanalysis.com/" TargetMode="External"/><Relationship Id="rId64" Type="http://schemas.openxmlformats.org/officeDocument/2006/relationships/hyperlink" Target="https://iffr.com/en" TargetMode="External"/><Relationship Id="rId69" Type="http://schemas.openxmlformats.org/officeDocument/2006/relationships/image" Target="media/image23.png"/><Relationship Id="rId77" Type="http://schemas.openxmlformats.org/officeDocument/2006/relationships/hyperlink" Target="http://www.cinemapp.com/" TargetMode="External"/><Relationship Id="rId8" Type="http://schemas.openxmlformats.org/officeDocument/2006/relationships/hyperlink" Target="https://mailchi.mp/ce3ee53e5b29/cepi-nl-december-2021-january-2022?e=00eb4f9b18" TargetMode="External"/><Relationship Id="rId51" Type="http://schemas.openxmlformats.org/officeDocument/2006/relationships/image" Target="media/image13.png"/><Relationship Id="rId72" Type="http://schemas.openxmlformats.org/officeDocument/2006/relationships/hyperlink" Target="https://euipo.europa.eu/ohimportal/en/news/-/action/view/9074272" TargetMode="External"/><Relationship Id="rId80" Type="http://schemas.openxmlformats.org/officeDocument/2006/relationships/hyperlink" Target="https://www.maniff.com/" TargetMode="External"/><Relationship Id="rId85" Type="http://schemas.openxmlformats.org/officeDocument/2006/relationships/hyperlink" Target="https://variety.com/2021/artisans/awards/women-in-film-awards-ballot-2022-1235134998/" TargetMode="External"/><Relationship Id="rId3" Type="http://schemas.openxmlformats.org/officeDocument/2006/relationships/settings" Target="settings.xml"/><Relationship Id="rId12" Type="http://schemas.openxmlformats.org/officeDocument/2006/relationships/hyperlink" Target="https://mailchi.mp/ce3ee53e5b29/cepi-nl-december-2021-january-2022?e=00eb4f9b18" TargetMode="External"/><Relationship Id="rId17" Type="http://schemas.openxmlformats.org/officeDocument/2006/relationships/hyperlink" Target="https://mailchi.mp/ce3ee53e5b29/cepi-nl-december-2021-january-2022?e=00eb4f9b18" TargetMode="External"/><Relationship Id="rId25" Type="http://schemas.openxmlformats.org/officeDocument/2006/relationships/hyperlink" Target="https://mailchi.mp/ce3ee53e5b29/cepi-nl-december-2021-january-2022?e=00eb4f9b18" TargetMode="External"/><Relationship Id="rId33" Type="http://schemas.openxmlformats.org/officeDocument/2006/relationships/image" Target="media/image3.jpeg"/><Relationship Id="rId38" Type="http://schemas.openxmlformats.org/officeDocument/2006/relationships/hyperlink" Target="https://cultureactioneurope.org/files/2021/11/NRRPs_analysed_digital.pdf" TargetMode="External"/><Relationship Id="rId46" Type="http://schemas.openxmlformats.org/officeDocument/2006/relationships/hyperlink" Target="https://www.europarl.europa.eu/cmsdata/243496/VL%20Digital%20Services%20Act%20FINAL.pdf" TargetMode="External"/><Relationship Id="rId59" Type="http://schemas.openxmlformats.org/officeDocument/2006/relationships/image" Target="media/image18.jpeg"/><Relationship Id="rId67" Type="http://schemas.openxmlformats.org/officeDocument/2006/relationships/image" Target="media/image22.jpeg"/><Relationship Id="rId20" Type="http://schemas.openxmlformats.org/officeDocument/2006/relationships/hyperlink" Target="https://mailchi.mp/ce3ee53e5b29/cepi-nl-december-2021-january-2022?e=00eb4f9b18" TargetMode="External"/><Relationship Id="rId41" Type="http://schemas.openxmlformats.org/officeDocument/2006/relationships/image" Target="media/image8.jpeg"/><Relationship Id="rId54" Type="http://schemas.openxmlformats.org/officeDocument/2006/relationships/image" Target="media/image16.jpeg"/><Relationship Id="rId62" Type="http://schemas.openxmlformats.org/officeDocument/2006/relationships/hyperlink" Target="https://www.tvscientific.com/lp/ctv-powers-performance-tv-revolution" TargetMode="External"/><Relationship Id="rId70" Type="http://schemas.openxmlformats.org/officeDocument/2006/relationships/hyperlink" Target="https://rm.coe.int/animation-films-and-tv-series-in-europe-key-figures/1680a4a717" TargetMode="External"/><Relationship Id="rId75" Type="http://schemas.openxmlformats.org/officeDocument/2006/relationships/hyperlink" Target="https://www.facebook.com/ACEProducers/posts/4643939145688915" TargetMode="External"/><Relationship Id="rId83" Type="http://schemas.openxmlformats.org/officeDocument/2006/relationships/hyperlink" Target="http://www.berlinfest.com/"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ailchi.mp/ce3ee53e5b29/cepi-nl-december-2021-january-2022?e=00eb4f9b18" TargetMode="External"/><Relationship Id="rId23" Type="http://schemas.openxmlformats.org/officeDocument/2006/relationships/hyperlink" Target="https://mailchi.mp/ce3ee53e5b29/cepi-nl-december-2021-january-2022?e=00eb4f9b18" TargetMode="External"/><Relationship Id="rId28" Type="http://schemas.openxmlformats.org/officeDocument/2006/relationships/hyperlink" Target="https://presidence-francaise.consilium.europa.eu/" TargetMode="External"/><Relationship Id="rId36" Type="http://schemas.openxmlformats.org/officeDocument/2006/relationships/image" Target="media/image5.jpeg"/><Relationship Id="rId49" Type="http://schemas.openxmlformats.org/officeDocument/2006/relationships/hyperlink" Target="https://www.beuc.eu/" TargetMode="External"/><Relationship Id="rId57" Type="http://schemas.openxmlformats.org/officeDocument/2006/relationships/hyperlink" Target="https://www.usatoday.com/story/entertainment/tv/2021/09/14/money-heist-elite-lupin-unorthodox-netflix-non-english-hits/8267105002/" TargetMode="External"/><Relationship Id="rId10" Type="http://schemas.openxmlformats.org/officeDocument/2006/relationships/hyperlink" Target="https://mailchi.mp/ce3ee53e5b29/cepi-nl-december-2021-january-2022?e=00eb4f9b18" TargetMode="External"/><Relationship Id="rId31" Type="http://schemas.openxmlformats.org/officeDocument/2006/relationships/hyperlink" Target="https://www.youtube.com/watch?v=jKiTZH-XXBY" TargetMode="External"/><Relationship Id="rId44" Type="http://schemas.openxmlformats.org/officeDocument/2006/relationships/hyperlink" Target="https://www.europarl.europa.eu/news/en/press-room/20211210IPR19211/digital-markets-act-parliament-ready-to-start-negotiations-with-council" TargetMode="External"/><Relationship Id="rId52" Type="http://schemas.openxmlformats.org/officeDocument/2006/relationships/image" Target="media/image14.png"/><Relationship Id="rId60" Type="http://schemas.openxmlformats.org/officeDocument/2006/relationships/image" Target="media/image19.png"/><Relationship Id="rId65" Type="http://schemas.openxmlformats.org/officeDocument/2006/relationships/image" Target="media/image21.jpeg"/><Relationship Id="rId73" Type="http://schemas.openxmlformats.org/officeDocument/2006/relationships/image" Target="media/image24.png"/><Relationship Id="rId78" Type="http://schemas.openxmlformats.org/officeDocument/2006/relationships/hyperlink" Target="mailto:pieter@cinemapp.com" TargetMode="External"/><Relationship Id="rId81" Type="http://schemas.openxmlformats.org/officeDocument/2006/relationships/hyperlink" Target="https://festival-gerardmer.com/2021/" TargetMode="External"/><Relationship Id="rId86" Type="http://schemas.openxmlformats.org/officeDocument/2006/relationships/hyperlink" Target="https://www.mediapost.com/publications/article/369438/golden-globes-is-a-no-go-for-nbcu-in-2022-but-th.html" TargetMode="External"/><Relationship Id="rId4" Type="http://schemas.openxmlformats.org/officeDocument/2006/relationships/webSettings" Target="webSettings.xml"/><Relationship Id="rId9" Type="http://schemas.openxmlformats.org/officeDocument/2006/relationships/hyperlink" Target="https://mailchi.mp/ce3ee53e5b29/cepi-nl-december-2021-january-2022?e=00eb4f9b18" TargetMode="External"/><Relationship Id="rId13" Type="http://schemas.openxmlformats.org/officeDocument/2006/relationships/hyperlink" Target="https://mailchi.mp/ce3ee53e5b29/cepi-nl-december-2021-january-2022?e=00eb4f9b18" TargetMode="External"/><Relationship Id="rId18" Type="http://schemas.openxmlformats.org/officeDocument/2006/relationships/hyperlink" Target="https://mailchi.mp/ce3ee53e5b29/cepi-nl-december-2021-january-2022?e=00eb4f9b18" TargetMode="External"/><Relationship Id="rId39" Type="http://schemas.openxmlformats.org/officeDocument/2006/relationships/image" Target="media/image7.png"/><Relationship Id="rId34" Type="http://schemas.openxmlformats.org/officeDocument/2006/relationships/hyperlink" Target="https://d9e14560-9968-444c-84ba-0d9f0777935f.usrfiles.com/ugd/d9e145_0baa0f7f326346488028744b20481186.pdf"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25.jpeg"/><Relationship Id="rId7" Type="http://schemas.openxmlformats.org/officeDocument/2006/relationships/hyperlink" Target="https://mailchi.mp/ce3ee53e5b29/cepi-nl-december-2021-january-2022?e=00eb4f9b18" TargetMode="External"/><Relationship Id="rId71" Type="http://schemas.openxmlformats.org/officeDocument/2006/relationships/hyperlink" Target="https://euipo.europa.eu/ohimportal/en/web/observatory/online-copyright-infringement-in-eu_2021" TargetMode="External"/><Relationship Id="rId2" Type="http://schemas.openxmlformats.org/officeDocument/2006/relationships/styles" Target="styles.xml"/><Relationship Id="rId29" Type="http://schemas.openxmlformats.org/officeDocument/2006/relationships/hyperlink" Target="https://www.elysee.fr/emmanuel-macron/europe" TargetMode="External"/><Relationship Id="rId24" Type="http://schemas.openxmlformats.org/officeDocument/2006/relationships/hyperlink" Target="https://mailchi.mp/ce3ee53e5b29/cepi-nl-december-2021-january-2022?e=00eb4f9b18" TargetMode="External"/><Relationship Id="rId40" Type="http://schemas.openxmlformats.org/officeDocument/2006/relationships/hyperlink" Target="https://blog.youtube/news-and-events/access-all-balanced-ecosystem-and-powerful-tools/" TargetMode="External"/><Relationship Id="rId45" Type="http://schemas.openxmlformats.org/officeDocument/2006/relationships/image" Target="media/image10.jpeg"/><Relationship Id="rId66" Type="http://schemas.openxmlformats.org/officeDocument/2006/relationships/hyperlink" Target="https://www.canneslions.com/" TargetMode="External"/><Relationship Id="rId87" Type="http://schemas.openxmlformats.org/officeDocument/2006/relationships/fontTable" Target="fontTable.xml"/><Relationship Id="rId61" Type="http://schemas.openxmlformats.org/officeDocument/2006/relationships/hyperlink" Target="https://www.tvtechnology.com/news/bia-nextgen-tv-could-add-dollar107b-in-new-revenue-by-2030" TargetMode="External"/><Relationship Id="rId82" Type="http://schemas.openxmlformats.org/officeDocument/2006/relationships/hyperlink" Target="https://iffr.com/e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11616</Words>
  <Characters>66215</Characters>
  <Application>Microsoft Office Word</Application>
  <DocSecurity>0</DocSecurity>
  <Lines>551</Lines>
  <Paragraphs>155</Paragraphs>
  <ScaleCrop>false</ScaleCrop>
  <Company/>
  <LinksUpToDate>false</LinksUpToDate>
  <CharactersWithSpaces>77676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2022-02-03T10:05:00Z</dcterms:created>
  <dcterms:modified xsi:type="dcterms:W3CDTF">2022-02-03T10:06:00Z</dcterms:modified>
</cp:coreProperties>
</file>